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outlineLvl w:val="0"/>
        <w:rPr>
          <w:rFonts w:eastAsia="黑体" w:cs="Times New Roman"/>
          <w:b/>
          <w:bCs/>
          <w:color w:val="auto"/>
          <w:sz w:val="30"/>
          <w:szCs w:val="30"/>
          <w:highlight w:val="none"/>
        </w:rPr>
      </w:pPr>
      <w:bookmarkStart w:id="0" w:name="_Toc10581"/>
      <w:r>
        <w:rPr>
          <w:rFonts w:eastAsia="黑体" w:cs="Times New Roman"/>
          <w:b/>
          <w:bCs/>
          <w:color w:val="auto"/>
          <w:sz w:val="30"/>
          <w:szCs w:val="30"/>
          <w:highlight w:val="none"/>
        </w:rPr>
        <w:t>前  言</w:t>
      </w:r>
      <w:bookmarkEnd w:id="0"/>
    </w:p>
    <w:p>
      <w:pPr>
        <w:wordWrap w:val="0"/>
        <w:ind w:firstLine="480"/>
        <w:rPr>
          <w:rFonts w:hint="eastAsia" w:cs="Times New Roman"/>
          <w:color w:val="auto"/>
          <w:highlight w:val="none"/>
        </w:rPr>
      </w:pPr>
      <w:r>
        <w:rPr>
          <w:rFonts w:hint="eastAsia" w:cs="Times New Roman"/>
          <w:color w:val="auto"/>
          <w:highlight w:val="none"/>
        </w:rPr>
        <w:t>我国颁布实施的新《汽车产业发展政策</w:t>
      </w:r>
      <w:r>
        <w:rPr>
          <w:rFonts w:hint="eastAsia" w:cs="Times New Roman"/>
          <w:color w:val="auto"/>
          <w:highlight w:val="none"/>
          <w:lang w:eastAsia="zh-CN"/>
        </w:rPr>
        <w:t>》</w:t>
      </w:r>
      <w:r>
        <w:rPr>
          <w:rFonts w:hint="eastAsia" w:cs="Times New Roman"/>
          <w:color w:val="auto"/>
          <w:highlight w:val="none"/>
        </w:rPr>
        <w:t>明确提出，将培育以私人消费为主的汽车市场，引导汽车消费者购买和使用低能耗、低污染、小排量、新能源、新动力的汽车，这为汽车产业发展带来了新机遇。随着我国城市化进程加快推进，汽车消费需求将在今后很长段时间保持稳定较快增长趋势。虽然成都的一些企业具备了一定的零部件开发能力，并在某些领域在国内处于领先地位，但些关键零部件如: 发动机、变速器等仍然依靠国内外其他厂商。成都零部件生产厂商在研发、技术和工艺方面较弱，设备水平较低，难以为中高端汽车形成有效配套。大大降低了天府新区汽车行业整体水平，也是天府新区引入中高端汽车厂商的一个瓶颈。鉴于此，上海千缘汽车车身模具有限公司关于汽车零部件制造的项目(以下简称本项目)尝试与高等学府汽车研发中心合作，引进高端的模具装备工程技术及液压成型新生产工艺、技术，必将使公司的技术水平提升一个大台阶。再加上企业计划每年投入收入的20%作为研发资金，持续研究不断创新，必将成为天府新区汽车配套产业的排头兵，成为天府新区最有实力为高档汽车配套的企业。</w:t>
      </w:r>
    </w:p>
    <w:p>
      <w:pPr>
        <w:wordWrap w:val="0"/>
        <w:ind w:firstLine="480"/>
        <w:rPr>
          <w:rFonts w:cs="Times New Roman"/>
          <w:color w:val="auto"/>
          <w:highlight w:val="none"/>
        </w:rPr>
      </w:pPr>
      <w:r>
        <w:rPr>
          <w:rFonts w:hint="eastAsia" w:cs="Times New Roman"/>
          <w:color w:val="auto"/>
          <w:highlight w:val="none"/>
        </w:rPr>
        <w:t>本项目不属于国家《促进产业结构调整暂行规定》(国发[2013]21</w:t>
      </w:r>
      <w:bookmarkStart w:id="46" w:name="_GoBack"/>
      <w:bookmarkEnd w:id="46"/>
      <w:r>
        <w:rPr>
          <w:rFonts w:hint="eastAsia" w:cs="Times New Roman"/>
          <w:color w:val="auto"/>
          <w:highlight w:val="none"/>
        </w:rPr>
        <w:t>号)中的鼓励类、限制类和淘汰类，且符合国家有关法律、法规和政策规定，为允许类，符合国家产业政策。</w:t>
      </w:r>
    </w:p>
    <w:p>
      <w:pPr>
        <w:ind w:firstLine="480"/>
        <w:rPr>
          <w:rFonts w:cs="Times New Roman"/>
          <w:color w:val="auto"/>
          <w:highlight w:val="none"/>
        </w:rPr>
      </w:pPr>
      <w:r>
        <w:rPr>
          <w:rFonts w:hint="eastAsia" w:cs="Times New Roman"/>
          <w:color w:val="auto"/>
          <w:highlight w:val="none"/>
          <w:lang w:eastAsia="zh-CN"/>
        </w:rPr>
        <w:t>上海千缘汽车车身模具有限公司关于汽车零部件制造的项目</w:t>
      </w:r>
      <w:r>
        <w:rPr>
          <w:rFonts w:hint="eastAsia" w:cs="Times New Roman"/>
          <w:color w:val="auto"/>
          <w:highlight w:val="none"/>
        </w:rPr>
        <w:t>位于</w:t>
      </w:r>
      <w:r>
        <w:rPr>
          <w:rFonts w:hint="eastAsia" w:cs="Times New Roman"/>
          <w:color w:val="auto"/>
          <w:highlight w:val="none"/>
          <w:lang w:val="en-US" w:eastAsia="zh-CN"/>
        </w:rPr>
        <w:t>天府新区新兴工业园</w:t>
      </w:r>
      <w:r>
        <w:rPr>
          <w:rFonts w:hint="eastAsia" w:cs="Times New Roman"/>
          <w:color w:val="auto"/>
          <w:highlight w:val="none"/>
        </w:rPr>
        <w:t>，场地地理位置优越，交通方便。</w:t>
      </w:r>
      <w:r>
        <w:rPr>
          <w:rFonts w:hint="eastAsia"/>
          <w:color w:val="auto"/>
          <w:highlight w:val="none"/>
        </w:rPr>
        <w:t>本项目总占地面积</w:t>
      </w:r>
      <w:r>
        <w:rPr>
          <w:rFonts w:hint="eastAsia"/>
          <w:color w:val="auto"/>
          <w:highlight w:val="none"/>
          <w:lang w:eastAsia="zh-CN"/>
        </w:rPr>
        <w:t>4.45</w:t>
      </w:r>
      <w:r>
        <w:rPr>
          <w:rFonts w:hint="eastAsia"/>
          <w:color w:val="auto"/>
          <w:highlight w:val="none"/>
        </w:rPr>
        <w:t>hm</w:t>
      </w:r>
      <w:r>
        <w:rPr>
          <w:rFonts w:hint="eastAsia"/>
          <w:color w:val="auto"/>
          <w:highlight w:val="none"/>
          <w:vertAlign w:val="superscript"/>
        </w:rPr>
        <w:t>2</w:t>
      </w:r>
      <w:r>
        <w:rPr>
          <w:rFonts w:hint="eastAsia"/>
          <w:color w:val="auto"/>
          <w:highlight w:val="none"/>
        </w:rPr>
        <w:t>，</w:t>
      </w:r>
      <w:r>
        <w:rPr>
          <w:rFonts w:hint="eastAsia"/>
          <w:color w:val="auto"/>
          <w:highlight w:val="none"/>
          <w:lang w:val="en-US" w:eastAsia="zh-CN"/>
        </w:rPr>
        <w:t>均为永久占地</w:t>
      </w:r>
      <w:r>
        <w:rPr>
          <w:rFonts w:hint="eastAsia"/>
          <w:color w:val="auto"/>
          <w:highlight w:val="none"/>
        </w:rPr>
        <w:t>。占地类型为耕地、林地、园地、</w:t>
      </w:r>
      <w:r>
        <w:rPr>
          <w:rFonts w:hint="eastAsia"/>
          <w:color w:val="auto"/>
          <w:highlight w:val="none"/>
          <w:lang w:val="en-US" w:eastAsia="zh-CN"/>
        </w:rPr>
        <w:t>草</w:t>
      </w:r>
      <w:r>
        <w:rPr>
          <w:rFonts w:hint="eastAsia"/>
          <w:color w:val="auto"/>
          <w:highlight w:val="none"/>
        </w:rPr>
        <w:t>地</w:t>
      </w:r>
      <w:r>
        <w:rPr>
          <w:color w:val="auto"/>
          <w:highlight w:val="none"/>
        </w:rPr>
        <w:t>。</w:t>
      </w:r>
      <w:r>
        <w:rPr>
          <w:rFonts w:hint="eastAsia"/>
          <w:color w:val="auto"/>
          <w:highlight w:val="none"/>
          <w:lang w:val="en-US" w:eastAsia="zh-CN"/>
        </w:rPr>
        <w:t>临时</w:t>
      </w:r>
      <w:r>
        <w:rPr>
          <w:rFonts w:hint="eastAsia"/>
          <w:color w:val="auto"/>
          <w:highlight w:val="none"/>
        </w:rPr>
        <w:t>工程</w:t>
      </w:r>
      <w:r>
        <w:rPr>
          <w:rFonts w:hint="eastAsia"/>
          <w:color w:val="auto"/>
          <w:highlight w:val="none"/>
          <w:lang w:val="en-US" w:eastAsia="zh-CN"/>
        </w:rPr>
        <w:t>包括施工生产生活区及表土堆场，</w:t>
      </w:r>
      <w:r>
        <w:rPr>
          <w:rFonts w:hint="eastAsia"/>
          <w:color w:val="auto"/>
          <w:highlight w:val="none"/>
        </w:rPr>
        <w:t>占地</w:t>
      </w:r>
      <w:r>
        <w:rPr>
          <w:rFonts w:hint="eastAsia"/>
          <w:color w:val="auto"/>
          <w:highlight w:val="none"/>
          <w:lang w:val="en-US" w:eastAsia="zh-CN"/>
        </w:rPr>
        <w:t>共计0.08</w:t>
      </w:r>
      <w:r>
        <w:rPr>
          <w:rFonts w:hint="eastAsia"/>
          <w:color w:val="auto"/>
          <w:highlight w:val="none"/>
        </w:rPr>
        <w:t>hm</w:t>
      </w:r>
      <w:r>
        <w:rPr>
          <w:color w:val="auto"/>
          <w:highlight w:val="none"/>
          <w:vertAlign w:val="superscript"/>
        </w:rPr>
        <w:t>2</w:t>
      </w:r>
      <w:r>
        <w:rPr>
          <w:rFonts w:hint="eastAsia"/>
          <w:color w:val="auto"/>
          <w:highlight w:val="none"/>
        </w:rPr>
        <w:t>，</w:t>
      </w:r>
      <w:r>
        <w:rPr>
          <w:rFonts w:hint="eastAsia"/>
          <w:color w:val="auto"/>
          <w:highlight w:val="none"/>
          <w:lang w:val="en-US" w:eastAsia="zh-CN"/>
        </w:rPr>
        <w:t>位于项目永久占地范围内，面积不重复计列</w:t>
      </w:r>
      <w:r>
        <w:rPr>
          <w:rFonts w:hint="eastAsia"/>
          <w:color w:val="auto"/>
          <w:highlight w:val="none"/>
        </w:rPr>
        <w:t>。</w:t>
      </w:r>
    </w:p>
    <w:p>
      <w:pPr>
        <w:ind w:firstLine="480"/>
        <w:rPr>
          <w:rFonts w:eastAsia="仿宋_GB2312" w:cs="Times New Roman"/>
          <w:color w:val="auto"/>
          <w:highlight w:val="none"/>
        </w:rPr>
      </w:pPr>
      <w:r>
        <w:rPr>
          <w:rFonts w:hint="eastAsia"/>
          <w:color w:val="auto"/>
          <w:highlight w:val="none"/>
        </w:rPr>
        <w:t>本项目建设共开挖土石方</w:t>
      </w:r>
      <w:r>
        <w:rPr>
          <w:rFonts w:hint="eastAsia"/>
          <w:color w:val="auto"/>
          <w:highlight w:val="none"/>
          <w:lang w:eastAsia="zh-CN"/>
        </w:rPr>
        <w:t>2.89</w:t>
      </w:r>
      <w:r>
        <w:rPr>
          <w:rFonts w:hint="eastAsia"/>
          <w:color w:val="auto"/>
          <w:highlight w:val="none"/>
        </w:rPr>
        <w:t>万m</w:t>
      </w:r>
      <w:r>
        <w:rPr>
          <w:color w:val="auto"/>
          <w:highlight w:val="none"/>
          <w:vertAlign w:val="superscript"/>
        </w:rPr>
        <w:t>3</w:t>
      </w:r>
      <w:r>
        <w:rPr>
          <w:rFonts w:hint="eastAsia"/>
          <w:color w:val="auto"/>
          <w:highlight w:val="none"/>
        </w:rPr>
        <w:t>，填方</w:t>
      </w:r>
      <w:r>
        <w:rPr>
          <w:rFonts w:hint="eastAsia"/>
          <w:color w:val="auto"/>
          <w:highlight w:val="none"/>
          <w:lang w:eastAsia="zh-CN"/>
        </w:rPr>
        <w:t>12.89</w:t>
      </w:r>
      <w:r>
        <w:rPr>
          <w:rFonts w:hint="eastAsia"/>
          <w:color w:val="auto"/>
          <w:highlight w:val="none"/>
        </w:rPr>
        <w:t>万m</w:t>
      </w:r>
      <w:r>
        <w:rPr>
          <w:color w:val="auto"/>
          <w:highlight w:val="none"/>
          <w:vertAlign w:val="superscript"/>
        </w:rPr>
        <w:t>3</w:t>
      </w:r>
      <w:r>
        <w:rPr>
          <w:rFonts w:hint="eastAsia"/>
          <w:color w:val="auto"/>
          <w:highlight w:val="none"/>
        </w:rPr>
        <w:t>，无</w:t>
      </w:r>
      <w:r>
        <w:rPr>
          <w:rFonts w:hint="eastAsia"/>
          <w:color w:val="auto"/>
          <w:highlight w:val="none"/>
          <w:lang w:val="en-US" w:eastAsia="zh-CN"/>
        </w:rPr>
        <w:t>弃</w:t>
      </w:r>
      <w:r>
        <w:rPr>
          <w:rFonts w:hint="eastAsia"/>
          <w:color w:val="auto"/>
          <w:highlight w:val="none"/>
        </w:rPr>
        <w:t>方，</w:t>
      </w:r>
      <w:r>
        <w:rPr>
          <w:rFonts w:hint="eastAsia"/>
          <w:color w:val="auto"/>
          <w:highlight w:val="none"/>
          <w:lang w:val="en-US" w:eastAsia="zh-CN"/>
        </w:rPr>
        <w:t>借</w:t>
      </w:r>
      <w:r>
        <w:rPr>
          <w:rFonts w:hint="eastAsia"/>
          <w:color w:val="auto"/>
          <w:highlight w:val="none"/>
        </w:rPr>
        <w:t>方</w:t>
      </w:r>
      <w:r>
        <w:rPr>
          <w:rFonts w:hint="eastAsia"/>
          <w:color w:val="auto"/>
          <w:highlight w:val="none"/>
          <w:lang w:val="en-US" w:eastAsia="zh-CN"/>
        </w:rPr>
        <w:t>10</w:t>
      </w:r>
      <w:r>
        <w:rPr>
          <w:rFonts w:hint="eastAsia"/>
          <w:color w:val="auto"/>
          <w:highlight w:val="none"/>
        </w:rPr>
        <w:t>万m</w:t>
      </w:r>
      <w:r>
        <w:rPr>
          <w:color w:val="auto"/>
          <w:highlight w:val="none"/>
          <w:vertAlign w:val="superscript"/>
        </w:rPr>
        <w:t>3</w:t>
      </w:r>
      <w:r>
        <w:rPr>
          <w:rFonts w:hint="eastAsia"/>
          <w:color w:val="auto"/>
          <w:highlight w:val="none"/>
        </w:rPr>
        <w:t>，借方由其他建设项目的弃土及园区管委会调入土方进行回填，</w:t>
      </w:r>
      <w:r>
        <w:rPr>
          <w:rFonts w:hint="eastAsia"/>
          <w:color w:val="auto"/>
          <w:highlight w:val="none"/>
          <w:lang w:val="en-US" w:eastAsia="zh-CN"/>
        </w:rPr>
        <w:t>场地</w:t>
      </w:r>
      <w:r>
        <w:rPr>
          <w:rFonts w:hint="eastAsia"/>
          <w:color w:val="auto"/>
          <w:highlight w:val="none"/>
        </w:rPr>
        <w:t>现状良好，无水土流失隐患</w:t>
      </w:r>
      <w:r>
        <w:rPr>
          <w:rFonts w:cs="Times New Roman"/>
          <w:color w:val="auto"/>
          <w:highlight w:val="none"/>
        </w:rPr>
        <w:t>。</w:t>
      </w:r>
    </w:p>
    <w:p>
      <w:pPr>
        <w:ind w:firstLine="480"/>
        <w:rPr>
          <w:rFonts w:cs="Times New Roman"/>
          <w:color w:val="auto"/>
          <w:highlight w:val="none"/>
        </w:rPr>
      </w:pPr>
      <w:r>
        <w:rPr>
          <w:rFonts w:hint="eastAsia"/>
          <w:color w:val="auto"/>
          <w:highlight w:val="none"/>
        </w:rPr>
        <w:t>本项目已于</w:t>
      </w:r>
      <w:r>
        <w:rPr>
          <w:rFonts w:hint="eastAsia"/>
          <w:color w:val="auto"/>
          <w:highlight w:val="none"/>
          <w:lang w:eastAsia="zh-CN"/>
        </w:rPr>
        <w:t>2016年9月</w:t>
      </w:r>
      <w:r>
        <w:rPr>
          <w:rFonts w:hint="eastAsia"/>
          <w:color w:val="auto"/>
          <w:highlight w:val="none"/>
        </w:rPr>
        <w:t>开工建设，于</w:t>
      </w:r>
      <w:r>
        <w:rPr>
          <w:rFonts w:hint="eastAsia"/>
          <w:color w:val="auto"/>
          <w:highlight w:val="none"/>
          <w:lang w:eastAsia="zh-CN"/>
        </w:rPr>
        <w:t>2017年9月</w:t>
      </w:r>
      <w:r>
        <w:rPr>
          <w:rFonts w:hint="eastAsia"/>
          <w:color w:val="auto"/>
          <w:highlight w:val="none"/>
        </w:rPr>
        <w:t>完工，总工期</w:t>
      </w:r>
      <w:r>
        <w:rPr>
          <w:rFonts w:hint="eastAsia"/>
          <w:color w:val="auto"/>
          <w:highlight w:val="none"/>
          <w:lang w:eastAsia="zh-CN"/>
        </w:rPr>
        <w:t>13个月</w:t>
      </w:r>
      <w:r>
        <w:rPr>
          <w:rFonts w:cs="Times New Roman"/>
          <w:color w:val="auto"/>
          <w:highlight w:val="none"/>
        </w:rPr>
        <w:t>。项目总投资</w:t>
      </w:r>
      <w:r>
        <w:rPr>
          <w:rFonts w:hint="eastAsia"/>
          <w:color w:val="auto"/>
          <w:highlight w:val="none"/>
          <w:lang w:eastAsia="zh-CN"/>
        </w:rPr>
        <w:t>24000</w:t>
      </w:r>
      <w:r>
        <w:rPr>
          <w:rFonts w:hint="eastAsia"/>
          <w:color w:val="auto"/>
          <w:highlight w:val="none"/>
        </w:rPr>
        <w:t>万元，其中土建投资</w:t>
      </w:r>
      <w:r>
        <w:rPr>
          <w:rFonts w:hint="eastAsia"/>
          <w:color w:val="auto"/>
          <w:highlight w:val="none"/>
          <w:lang w:eastAsia="zh-CN"/>
        </w:rPr>
        <w:t>8430.37</w:t>
      </w:r>
      <w:r>
        <w:rPr>
          <w:rFonts w:hint="eastAsia"/>
          <w:color w:val="auto"/>
          <w:highlight w:val="none"/>
        </w:rPr>
        <w:t>万元</w:t>
      </w:r>
      <w:r>
        <w:rPr>
          <w:rFonts w:cs="Times New Roman"/>
          <w:color w:val="auto"/>
          <w:highlight w:val="none"/>
        </w:rPr>
        <w:t>，资金来源为</w:t>
      </w:r>
      <w:r>
        <w:rPr>
          <w:rFonts w:hint="eastAsia"/>
          <w:color w:val="auto"/>
          <w:highlight w:val="none"/>
        </w:rPr>
        <w:t>资本金及银行贷款</w:t>
      </w:r>
      <w:r>
        <w:rPr>
          <w:rFonts w:cs="Times New Roman"/>
          <w:color w:val="auto"/>
          <w:highlight w:val="none"/>
        </w:rPr>
        <w:t>。</w:t>
      </w:r>
    </w:p>
    <w:p>
      <w:pPr>
        <w:ind w:firstLine="480"/>
        <w:rPr>
          <w:color w:val="auto"/>
          <w:highlight w:val="none"/>
        </w:rPr>
      </w:pPr>
      <w:r>
        <w:rPr>
          <w:rFonts w:hint="eastAsia"/>
          <w:color w:val="auto"/>
          <w:highlight w:val="none"/>
        </w:rPr>
        <w:t>2</w:t>
      </w:r>
      <w:r>
        <w:rPr>
          <w:color w:val="auto"/>
          <w:highlight w:val="none"/>
        </w:rPr>
        <w:t>01</w:t>
      </w:r>
      <w:r>
        <w:rPr>
          <w:rFonts w:hint="eastAsia"/>
          <w:color w:val="auto"/>
          <w:highlight w:val="none"/>
          <w:lang w:val="en-US" w:eastAsia="zh-CN"/>
        </w:rPr>
        <w:t>6</w:t>
      </w:r>
      <w:r>
        <w:rPr>
          <w:rFonts w:hint="eastAsia"/>
          <w:color w:val="auto"/>
          <w:highlight w:val="none"/>
        </w:rPr>
        <w:t>年</w:t>
      </w:r>
      <w:r>
        <w:rPr>
          <w:rFonts w:hint="eastAsia"/>
          <w:color w:val="auto"/>
          <w:highlight w:val="none"/>
          <w:lang w:val="en-US" w:eastAsia="zh-CN"/>
        </w:rPr>
        <w:t>6</w:t>
      </w:r>
      <w:r>
        <w:rPr>
          <w:rFonts w:hint="eastAsia"/>
          <w:color w:val="auto"/>
          <w:highlight w:val="none"/>
        </w:rPr>
        <w:t>月</w:t>
      </w:r>
      <w:r>
        <w:rPr>
          <w:rFonts w:hint="eastAsia"/>
          <w:color w:val="auto"/>
          <w:highlight w:val="none"/>
          <w:lang w:val="en-US" w:eastAsia="zh-CN"/>
        </w:rPr>
        <w:t>24</w:t>
      </w:r>
      <w:r>
        <w:rPr>
          <w:rFonts w:hint="eastAsia"/>
          <w:color w:val="auto"/>
          <w:highlight w:val="none"/>
        </w:rPr>
        <w:t>日，本项目工程可行性研究报告经</w:t>
      </w:r>
      <w:r>
        <w:rPr>
          <w:rFonts w:hint="eastAsia"/>
          <w:color w:val="auto"/>
          <w:highlight w:val="none"/>
          <w:lang w:eastAsia="zh-CN"/>
        </w:rPr>
        <w:t>天府新区成都管委会经济发展局</w:t>
      </w:r>
      <w:r>
        <w:rPr>
          <w:rFonts w:hint="eastAsia"/>
          <w:color w:val="auto"/>
          <w:highlight w:val="none"/>
        </w:rPr>
        <w:t>审查后进行批复（</w:t>
      </w:r>
      <w:r>
        <w:rPr>
          <w:rFonts w:hint="eastAsia"/>
          <w:color w:val="auto"/>
          <w:highlight w:val="none"/>
          <w:lang w:eastAsia="zh-CN"/>
        </w:rPr>
        <w:t>天成管经投资备案[2016]42号</w:t>
      </w:r>
      <w:r>
        <w:rPr>
          <w:rFonts w:hint="eastAsia"/>
          <w:color w:val="auto"/>
          <w:highlight w:val="none"/>
        </w:rPr>
        <w:t>）。</w:t>
      </w:r>
    </w:p>
    <w:p>
      <w:pPr>
        <w:ind w:firstLine="480"/>
        <w:rPr>
          <w:rFonts w:cs="Times New Roman"/>
          <w:color w:val="auto"/>
          <w:highlight w:val="none"/>
        </w:rPr>
      </w:pPr>
      <w:r>
        <w:rPr>
          <w:rFonts w:hint="eastAsia" w:cs="Times New Roman"/>
          <w:color w:val="auto"/>
          <w:highlight w:val="none"/>
        </w:rPr>
        <w:t>2</w:t>
      </w:r>
      <w:r>
        <w:rPr>
          <w:rFonts w:cs="Times New Roman"/>
          <w:color w:val="auto"/>
          <w:highlight w:val="none"/>
        </w:rPr>
        <w:t>01</w:t>
      </w:r>
      <w:r>
        <w:rPr>
          <w:rFonts w:hint="eastAsia" w:cs="Times New Roman"/>
          <w:color w:val="auto"/>
          <w:highlight w:val="none"/>
        </w:rPr>
        <w:t>6</w:t>
      </w:r>
      <w:r>
        <w:rPr>
          <w:rFonts w:cs="Times New Roman"/>
          <w:color w:val="auto"/>
          <w:highlight w:val="none"/>
        </w:rPr>
        <w:t>年</w:t>
      </w:r>
      <w:r>
        <w:rPr>
          <w:rFonts w:hint="eastAsia" w:cs="Times New Roman"/>
          <w:color w:val="auto"/>
          <w:highlight w:val="none"/>
          <w:lang w:val="en-US" w:eastAsia="zh-CN"/>
        </w:rPr>
        <w:t>6</w:t>
      </w:r>
      <w:r>
        <w:rPr>
          <w:rFonts w:cs="Times New Roman"/>
          <w:color w:val="auto"/>
          <w:highlight w:val="none"/>
        </w:rPr>
        <w:t>月，建设单位</w:t>
      </w:r>
      <w:r>
        <w:rPr>
          <w:rFonts w:hint="eastAsia" w:cs="Times New Roman"/>
          <w:color w:val="auto"/>
          <w:highlight w:val="none"/>
          <w:lang w:eastAsia="zh-CN"/>
        </w:rPr>
        <w:t>成都润嘉汽车部件有限公司</w:t>
      </w:r>
      <w:r>
        <w:rPr>
          <w:rFonts w:cs="Times New Roman"/>
          <w:color w:val="auto"/>
          <w:highlight w:val="none"/>
        </w:rPr>
        <w:t>委托</w:t>
      </w:r>
      <w:r>
        <w:rPr>
          <w:rFonts w:hint="eastAsia" w:cs="Times New Roman"/>
          <w:color w:val="auto"/>
          <w:highlight w:val="none"/>
          <w:lang w:eastAsia="zh-CN"/>
        </w:rPr>
        <w:t>四川国泰民安科技有限公司</w:t>
      </w:r>
      <w:r>
        <w:rPr>
          <w:rFonts w:cs="Times New Roman"/>
          <w:color w:val="auto"/>
          <w:highlight w:val="none"/>
        </w:rPr>
        <w:t>编制本项目水土保持方案报告书。接受委托后，编制单位技术人员于201</w:t>
      </w:r>
      <w:r>
        <w:rPr>
          <w:rFonts w:hint="eastAsia" w:cs="Times New Roman"/>
          <w:color w:val="auto"/>
          <w:highlight w:val="none"/>
        </w:rPr>
        <w:t>6</w:t>
      </w:r>
      <w:r>
        <w:rPr>
          <w:rFonts w:cs="Times New Roman"/>
          <w:color w:val="auto"/>
          <w:highlight w:val="none"/>
        </w:rPr>
        <w:t>年</w:t>
      </w:r>
      <w:r>
        <w:rPr>
          <w:rFonts w:hint="eastAsia" w:cs="Times New Roman"/>
          <w:color w:val="auto"/>
          <w:highlight w:val="none"/>
          <w:lang w:val="en-US" w:eastAsia="zh-CN"/>
        </w:rPr>
        <w:t>6</w:t>
      </w:r>
      <w:r>
        <w:rPr>
          <w:rFonts w:cs="Times New Roman"/>
          <w:color w:val="auto"/>
          <w:highlight w:val="none"/>
        </w:rPr>
        <w:t>月查勘了工程现场，并根据本工程设计资料及其他相关资料，201</w:t>
      </w:r>
      <w:r>
        <w:rPr>
          <w:rFonts w:hint="eastAsia" w:cs="Times New Roman"/>
          <w:color w:val="auto"/>
          <w:highlight w:val="none"/>
        </w:rPr>
        <w:t>6</w:t>
      </w:r>
      <w:r>
        <w:rPr>
          <w:rFonts w:cs="Times New Roman"/>
          <w:color w:val="auto"/>
          <w:highlight w:val="none"/>
        </w:rPr>
        <w:t>年</w:t>
      </w:r>
      <w:r>
        <w:rPr>
          <w:rFonts w:hint="eastAsia" w:cs="Times New Roman"/>
          <w:color w:val="auto"/>
          <w:highlight w:val="none"/>
          <w:lang w:val="en-US" w:eastAsia="zh-CN"/>
        </w:rPr>
        <w:t>7</w:t>
      </w:r>
      <w:r>
        <w:rPr>
          <w:rFonts w:hint="eastAsia" w:cs="Times New Roman"/>
          <w:color w:val="auto"/>
          <w:highlight w:val="none"/>
        </w:rPr>
        <w:t>月</w:t>
      </w:r>
      <w:r>
        <w:rPr>
          <w:rFonts w:cs="Times New Roman"/>
          <w:color w:val="auto"/>
          <w:highlight w:val="none"/>
        </w:rPr>
        <w:t>，</w:t>
      </w:r>
      <w:r>
        <w:rPr>
          <w:rFonts w:hint="eastAsia" w:cs="Times New Roman"/>
          <w:color w:val="auto"/>
          <w:highlight w:val="none"/>
          <w:lang w:eastAsia="zh-CN"/>
        </w:rPr>
        <w:t>天府新区成都管委会规划建设局</w:t>
      </w:r>
      <w:r>
        <w:rPr>
          <w:rFonts w:cs="Times New Roman"/>
          <w:color w:val="auto"/>
          <w:highlight w:val="none"/>
        </w:rPr>
        <w:t>组织开展了《</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水土保持方案报告书（送审稿）》的技术审查工作，并形成技术评审意见。随后方案编制单位根据专家组技术评审意见对报告书进行了补充、完善，于</w:t>
      </w:r>
      <w:r>
        <w:rPr>
          <w:rFonts w:hint="eastAsia" w:cs="Times New Roman"/>
          <w:color w:val="auto"/>
          <w:highlight w:val="none"/>
          <w:lang w:eastAsia="zh-CN"/>
        </w:rPr>
        <w:t>2016年</w:t>
      </w:r>
      <w:r>
        <w:rPr>
          <w:rFonts w:hint="eastAsia" w:cs="Times New Roman"/>
          <w:color w:val="auto"/>
          <w:highlight w:val="none"/>
          <w:lang w:val="en-US" w:eastAsia="zh-CN"/>
        </w:rPr>
        <w:t>8</w:t>
      </w:r>
      <w:r>
        <w:rPr>
          <w:rFonts w:hint="eastAsia" w:cs="Times New Roman"/>
          <w:color w:val="auto"/>
          <w:highlight w:val="none"/>
          <w:lang w:eastAsia="zh-CN"/>
        </w:rPr>
        <w:t>月</w:t>
      </w:r>
      <w:r>
        <w:rPr>
          <w:rFonts w:hint="eastAsia" w:cs="Times New Roman"/>
          <w:color w:val="auto"/>
          <w:highlight w:val="none"/>
        </w:rPr>
        <w:t>上</w:t>
      </w:r>
      <w:r>
        <w:rPr>
          <w:rFonts w:cs="Times New Roman"/>
          <w:color w:val="auto"/>
          <w:highlight w:val="none"/>
        </w:rPr>
        <w:t>旬修编完成《</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水土保持方案报告书（报批稿）》；</w:t>
      </w:r>
      <w:r>
        <w:rPr>
          <w:rFonts w:hint="eastAsia" w:cs="Times New Roman"/>
          <w:color w:val="auto"/>
          <w:highlight w:val="none"/>
          <w:lang w:eastAsia="zh-CN"/>
        </w:rPr>
        <w:t>2016年8月29日</w:t>
      </w:r>
      <w:r>
        <w:rPr>
          <w:rFonts w:cs="Times New Roman"/>
          <w:color w:val="auto"/>
          <w:highlight w:val="none"/>
        </w:rPr>
        <w:t>，</w:t>
      </w:r>
      <w:r>
        <w:rPr>
          <w:rFonts w:hint="eastAsia" w:cs="Times New Roman"/>
          <w:color w:val="auto"/>
          <w:highlight w:val="none"/>
          <w:lang w:eastAsia="zh-CN"/>
        </w:rPr>
        <w:t>天府新区成都管委会规划建设局</w:t>
      </w:r>
      <w:r>
        <w:rPr>
          <w:rFonts w:cs="Times New Roman"/>
          <w:color w:val="auto"/>
          <w:highlight w:val="none"/>
        </w:rPr>
        <w:t>对《</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水土保持方案报告书》进行了批复（</w:t>
      </w:r>
      <w:r>
        <w:rPr>
          <w:rFonts w:hint="eastAsia" w:cs="Times New Roman"/>
          <w:color w:val="auto"/>
          <w:highlight w:val="none"/>
          <w:lang w:eastAsia="zh-CN"/>
        </w:rPr>
        <w:t>天成管规建城复[2016]210号</w:t>
      </w:r>
      <w:r>
        <w:rPr>
          <w:rFonts w:cs="Times New Roman"/>
          <w:color w:val="auto"/>
          <w:highlight w:val="none"/>
        </w:rPr>
        <w:t>）。</w:t>
      </w:r>
    </w:p>
    <w:p>
      <w:pPr>
        <w:ind w:firstLine="480"/>
        <w:rPr>
          <w:rFonts w:cs="Times New Roman"/>
          <w:color w:val="auto"/>
          <w:highlight w:val="none"/>
        </w:rPr>
      </w:pPr>
      <w:r>
        <w:rPr>
          <w:rFonts w:hint="eastAsia" w:cs="Times New Roman"/>
          <w:color w:val="auto"/>
          <w:highlight w:val="none"/>
        </w:rPr>
        <w:t>工程建设过程中，建设单位</w:t>
      </w:r>
      <w:r>
        <w:rPr>
          <w:rFonts w:cs="Times New Roman"/>
          <w:color w:val="auto"/>
          <w:highlight w:val="none"/>
        </w:rPr>
        <w:t>委托主体工程监理</w:t>
      </w:r>
      <w:r>
        <w:rPr>
          <w:rFonts w:hint="eastAsia" w:cs="Times New Roman"/>
          <w:color w:val="auto"/>
          <w:highlight w:val="none"/>
        </w:rPr>
        <w:t>单位</w:t>
      </w:r>
      <w:r>
        <w:rPr>
          <w:rFonts w:hint="eastAsia" w:cs="Times New Roman"/>
          <w:color w:val="auto"/>
          <w:highlight w:val="none"/>
          <w:lang w:eastAsia="zh-CN"/>
        </w:rPr>
        <w:t>四川良友建设咨询有限公司</w:t>
      </w:r>
      <w:r>
        <w:rPr>
          <w:rFonts w:cs="Times New Roman"/>
          <w:color w:val="auto"/>
          <w:highlight w:val="none"/>
        </w:rPr>
        <w:t>将水土保持工程纳入其工作范围，主体工程监理接受委托后成立了水土保持监理工作组负责开展本项目水土保持工程监理工作。在开展水土保持工程监理工作过程中，依据水土保持法律法规制定了相应的规章制度，保证了水土保持工程措施的顺利实施。</w:t>
      </w:r>
    </w:p>
    <w:p>
      <w:pPr>
        <w:ind w:firstLine="480"/>
        <w:rPr>
          <w:rFonts w:cs="Times New Roman"/>
          <w:color w:val="auto"/>
          <w:highlight w:val="none"/>
        </w:rPr>
      </w:pPr>
      <w:r>
        <w:rPr>
          <w:rFonts w:cs="Times New Roman"/>
          <w:color w:val="auto"/>
          <w:highlight w:val="none"/>
        </w:rPr>
        <w:t>20</w:t>
      </w:r>
      <w:r>
        <w:rPr>
          <w:rFonts w:hint="eastAsia" w:cs="Times New Roman"/>
          <w:color w:val="auto"/>
          <w:highlight w:val="none"/>
        </w:rPr>
        <w:t>20</w:t>
      </w:r>
      <w:r>
        <w:rPr>
          <w:rFonts w:cs="Times New Roman"/>
          <w:color w:val="auto"/>
          <w:highlight w:val="none"/>
        </w:rPr>
        <w:t>年</w:t>
      </w:r>
      <w:r>
        <w:rPr>
          <w:rFonts w:hint="eastAsia" w:cs="Times New Roman"/>
          <w:color w:val="auto"/>
          <w:highlight w:val="none"/>
          <w:lang w:val="en-US" w:eastAsia="zh-CN"/>
        </w:rPr>
        <w:t>6</w:t>
      </w:r>
      <w:r>
        <w:rPr>
          <w:rFonts w:cs="Times New Roman"/>
          <w:color w:val="auto"/>
          <w:highlight w:val="none"/>
        </w:rPr>
        <w:t>月，</w:t>
      </w:r>
      <w:r>
        <w:rPr>
          <w:rFonts w:hint="eastAsia" w:cs="Times New Roman"/>
          <w:color w:val="auto"/>
          <w:highlight w:val="none"/>
        </w:rPr>
        <w:t>受建设单位</w:t>
      </w:r>
      <w:r>
        <w:rPr>
          <w:rFonts w:hint="eastAsia" w:cs="Times New Roman"/>
          <w:color w:val="auto"/>
          <w:highlight w:val="none"/>
          <w:lang w:eastAsia="zh-CN"/>
        </w:rPr>
        <w:t>成都润嘉汽车部件有限公司</w:t>
      </w:r>
      <w:r>
        <w:rPr>
          <w:rFonts w:hint="eastAsia" w:cs="Times New Roman"/>
          <w:color w:val="auto"/>
          <w:highlight w:val="none"/>
        </w:rPr>
        <w:t>委托，</w:t>
      </w:r>
      <w:r>
        <w:rPr>
          <w:rFonts w:cs="Times New Roman"/>
          <w:color w:val="auto"/>
          <w:highlight w:val="none"/>
        </w:rPr>
        <w:t>四川景溪工程设计有限公司</w:t>
      </w:r>
      <w:r>
        <w:rPr>
          <w:rFonts w:hint="eastAsia" w:cs="Times New Roman"/>
          <w:color w:val="auto"/>
          <w:highlight w:val="none"/>
        </w:rPr>
        <w:t>承担了本工程水土保持监测任务。监测单位按照水土保持监测相关要求对工程开展工程建设期的效果监测工作，编制并向建设单位提交了水土保持监测总结报告</w:t>
      </w:r>
      <w:r>
        <w:rPr>
          <w:rFonts w:cs="Times New Roman"/>
          <w:color w:val="auto"/>
          <w:highlight w:val="none"/>
        </w:rPr>
        <w:t>。</w:t>
      </w:r>
    </w:p>
    <w:p>
      <w:pPr>
        <w:ind w:firstLine="480"/>
        <w:rPr>
          <w:rFonts w:cs="Times New Roman"/>
          <w:color w:val="auto"/>
          <w:highlight w:val="none"/>
        </w:rPr>
      </w:pPr>
      <w:r>
        <w:rPr>
          <w:rFonts w:cs="Times New Roman"/>
          <w:color w:val="auto"/>
          <w:highlight w:val="none"/>
        </w:rPr>
        <w:t>20</w:t>
      </w:r>
      <w:r>
        <w:rPr>
          <w:rFonts w:hint="eastAsia" w:cs="Times New Roman"/>
          <w:color w:val="auto"/>
          <w:highlight w:val="none"/>
        </w:rPr>
        <w:t>20</w:t>
      </w:r>
      <w:r>
        <w:rPr>
          <w:rFonts w:cs="Times New Roman"/>
          <w:color w:val="auto"/>
          <w:highlight w:val="none"/>
        </w:rPr>
        <w:t>年</w:t>
      </w:r>
      <w:r>
        <w:rPr>
          <w:rFonts w:hint="eastAsia" w:cs="Times New Roman"/>
          <w:color w:val="auto"/>
          <w:highlight w:val="none"/>
          <w:lang w:val="en-US" w:eastAsia="zh-CN"/>
        </w:rPr>
        <w:t>7</w:t>
      </w:r>
      <w:r>
        <w:rPr>
          <w:rFonts w:cs="Times New Roman"/>
          <w:color w:val="auto"/>
          <w:highlight w:val="none"/>
        </w:rPr>
        <w:t>月，建设单位组织设计、施工、监理、监测单位等单位对工程进行了自查初验，对建设完成的重要单位工程进行了质量评定并通过验收。</w:t>
      </w:r>
    </w:p>
    <w:p>
      <w:pPr>
        <w:ind w:firstLine="480"/>
        <w:rPr>
          <w:rFonts w:cs="Times New Roman"/>
          <w:color w:val="auto"/>
          <w:highlight w:val="none"/>
        </w:rPr>
      </w:pPr>
      <w:r>
        <w:rPr>
          <w:rFonts w:cs="Times New Roman"/>
          <w:color w:val="auto"/>
          <w:highlight w:val="none"/>
        </w:rPr>
        <w:t>根据《中华人民共和国水土保持法》、《开发建设项目水土保持设施验收管理办法》、《水利部关于事中事后监管规范生产建设项目水土保持设施自主验收的通知》（水保[2017]365号）、《四川省水利厅转发水利部关于加强事中事后监管规范生产建设项目水土保持设施自主验收的通知》（川水函[2018]887号）等有关法律法规，建设单位于20</w:t>
      </w:r>
      <w:r>
        <w:rPr>
          <w:rFonts w:hint="eastAsia" w:cs="Times New Roman"/>
          <w:color w:val="auto"/>
          <w:highlight w:val="none"/>
        </w:rPr>
        <w:t>20</w:t>
      </w:r>
      <w:r>
        <w:rPr>
          <w:rFonts w:cs="Times New Roman"/>
          <w:color w:val="auto"/>
          <w:highlight w:val="none"/>
        </w:rPr>
        <w:t>年</w:t>
      </w:r>
      <w:r>
        <w:rPr>
          <w:rFonts w:hint="eastAsia" w:cs="Times New Roman"/>
          <w:color w:val="auto"/>
          <w:highlight w:val="none"/>
          <w:lang w:val="en-US" w:eastAsia="zh-CN"/>
        </w:rPr>
        <w:t>7</w:t>
      </w:r>
      <w:r>
        <w:rPr>
          <w:rFonts w:cs="Times New Roman"/>
          <w:color w:val="auto"/>
          <w:highlight w:val="none"/>
        </w:rPr>
        <w:t>月委托</w:t>
      </w:r>
      <w:r>
        <w:rPr>
          <w:rFonts w:hint="eastAsia" w:cs="Times New Roman"/>
          <w:color w:val="auto"/>
          <w:highlight w:val="none"/>
        </w:rPr>
        <w:t>四川兴景水利工程设计有限公司</w:t>
      </w:r>
      <w:r>
        <w:rPr>
          <w:rFonts w:cs="Times New Roman"/>
          <w:color w:val="auto"/>
          <w:highlight w:val="none"/>
        </w:rPr>
        <w:t>承担</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水土保持设施验收报告编制工作。接受任务后，验收编制单位随即按照相关水土保持法律法规及技术规程的要求，成立了水土保持设施验收工作组，依据批复的水土保持方案报告书及相关设计文件，于20</w:t>
      </w:r>
      <w:r>
        <w:rPr>
          <w:rFonts w:hint="eastAsia" w:cs="Times New Roman"/>
          <w:color w:val="auto"/>
          <w:highlight w:val="none"/>
        </w:rPr>
        <w:t>20</w:t>
      </w:r>
      <w:r>
        <w:rPr>
          <w:rFonts w:cs="Times New Roman"/>
          <w:color w:val="auto"/>
          <w:highlight w:val="none"/>
        </w:rPr>
        <w:t>年</w:t>
      </w:r>
      <w:r>
        <w:rPr>
          <w:rFonts w:hint="eastAsia" w:cs="Times New Roman"/>
          <w:color w:val="auto"/>
          <w:highlight w:val="none"/>
          <w:lang w:val="en-US" w:eastAsia="zh-CN"/>
        </w:rPr>
        <w:t>7</w:t>
      </w:r>
      <w:r>
        <w:rPr>
          <w:rFonts w:cs="Times New Roman"/>
          <w:color w:val="auto"/>
          <w:highlight w:val="none"/>
        </w:rPr>
        <w:t>月深入现场进行实地调查和访问。验收组技术人员查阅了设计、施工、主体监理及有关技术档案资料，在详细了解工程建设完成情况后，通过现场询问、实地量测和观察等方法进行典型和抽样调查，对照水土保持方案及相关法律法规，对水土保持工程各项措施的数量、质量和外形尺寸等进行核实和统计分析，并于20</w:t>
      </w:r>
      <w:r>
        <w:rPr>
          <w:rFonts w:hint="eastAsia" w:cs="Times New Roman"/>
          <w:color w:val="auto"/>
          <w:highlight w:val="none"/>
        </w:rPr>
        <w:t>20</w:t>
      </w:r>
      <w:r>
        <w:rPr>
          <w:rFonts w:cs="Times New Roman"/>
          <w:color w:val="auto"/>
          <w:highlight w:val="none"/>
        </w:rPr>
        <w:t>年</w:t>
      </w:r>
      <w:r>
        <w:rPr>
          <w:rFonts w:hint="eastAsia" w:cs="Times New Roman"/>
          <w:color w:val="auto"/>
          <w:highlight w:val="none"/>
          <w:lang w:val="en-US" w:eastAsia="zh-CN"/>
        </w:rPr>
        <w:t>7</w:t>
      </w:r>
      <w:r>
        <w:rPr>
          <w:rFonts w:cs="Times New Roman"/>
          <w:color w:val="auto"/>
          <w:highlight w:val="none"/>
        </w:rPr>
        <w:t>月完成《</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水土保持设施验收报告》。</w:t>
      </w:r>
    </w:p>
    <w:p>
      <w:pPr>
        <w:ind w:firstLine="480"/>
        <w:rPr>
          <w:rFonts w:cs="Times New Roman"/>
          <w:color w:val="auto"/>
          <w:highlight w:val="none"/>
        </w:rPr>
      </w:pPr>
      <w:r>
        <w:rPr>
          <w:rFonts w:cs="Times New Roman"/>
          <w:color w:val="auto"/>
          <w:highlight w:val="none"/>
        </w:rPr>
        <w:t>通过验收确认并结合监测成果，本项目水土流失防治责任范围为</w:t>
      </w:r>
      <w:r>
        <w:rPr>
          <w:rFonts w:hint="eastAsia" w:cs="Times New Roman"/>
          <w:color w:val="auto"/>
          <w:highlight w:val="none"/>
          <w:lang w:eastAsia="zh-CN"/>
        </w:rPr>
        <w:t>4.45</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，扰动土地面积</w:t>
      </w:r>
      <w:r>
        <w:rPr>
          <w:rFonts w:hint="eastAsia" w:cs="Times New Roman"/>
          <w:color w:val="auto"/>
          <w:highlight w:val="none"/>
          <w:lang w:eastAsia="zh-CN"/>
        </w:rPr>
        <w:t>4.45</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，水土流失治理面积</w:t>
      </w:r>
      <w:r>
        <w:rPr>
          <w:rFonts w:hint="eastAsia" w:cs="Times New Roman"/>
          <w:color w:val="auto"/>
          <w:highlight w:val="none"/>
          <w:lang w:eastAsia="zh-CN"/>
        </w:rPr>
        <w:t>0.32</w:t>
      </w:r>
      <w:r>
        <w:rPr>
          <w:rFonts w:hint="eastAsia" w:cs="Times New Roman"/>
          <w:color w:val="auto"/>
          <w:highlight w:val="none"/>
        </w:rPr>
        <w:t xml:space="preserve"> </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，其中工程措施</w:t>
      </w:r>
      <w:r>
        <w:rPr>
          <w:rFonts w:hint="eastAsia" w:cs="Times New Roman"/>
          <w:color w:val="auto"/>
          <w:highlight w:val="none"/>
          <w:lang w:val="en-US" w:eastAsia="zh-CN"/>
        </w:rPr>
        <w:t>0.0</w:t>
      </w:r>
      <w:r>
        <w:rPr>
          <w:rFonts w:hint="eastAsia" w:cs="Times New Roman"/>
          <w:color w:val="auto"/>
          <w:highlight w:val="none"/>
        </w:rPr>
        <w:t xml:space="preserve">1 </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，植物措施面积</w:t>
      </w:r>
      <w:r>
        <w:rPr>
          <w:rFonts w:hint="eastAsia" w:cs="Times New Roman"/>
          <w:color w:val="auto"/>
          <w:highlight w:val="none"/>
          <w:lang w:val="en-US" w:eastAsia="zh-CN"/>
        </w:rPr>
        <w:t>0.31</w:t>
      </w:r>
      <w:r>
        <w:rPr>
          <w:rFonts w:hint="eastAsia" w:cs="Times New Roman"/>
          <w:color w:val="auto"/>
          <w:highlight w:val="none"/>
        </w:rPr>
        <w:t>h</w:t>
      </w:r>
      <w:r>
        <w:rPr>
          <w:rFonts w:cs="Times New Roman"/>
          <w:color w:val="auto"/>
          <w:highlight w:val="none"/>
        </w:rPr>
        <w:t>m</w:t>
      </w:r>
      <w:r>
        <w:rPr>
          <w:rFonts w:cs="Times New Roman"/>
          <w:color w:val="auto"/>
          <w:highlight w:val="none"/>
          <w:vertAlign w:val="superscript"/>
        </w:rPr>
        <w:t>2</w:t>
      </w:r>
      <w:r>
        <w:rPr>
          <w:rFonts w:cs="Times New Roman"/>
          <w:color w:val="auto"/>
          <w:highlight w:val="none"/>
        </w:rPr>
        <w:t>，水土保持防治效果明显，至设计水平年结束，</w:t>
      </w:r>
      <w:r>
        <w:rPr>
          <w:rFonts w:hint="eastAsia" w:cs="Times New Roman"/>
          <w:color w:val="auto"/>
          <w:highlight w:val="none"/>
        </w:rPr>
        <w:t>项目扰动土地整治率</w:t>
      </w:r>
      <w:r>
        <w:rPr>
          <w:rFonts w:hint="eastAsia" w:cs="Times New Roman"/>
          <w:color w:val="auto"/>
          <w:highlight w:val="none"/>
          <w:lang w:eastAsia="zh-CN"/>
        </w:rPr>
        <w:t>99.97</w:t>
      </w:r>
      <w:r>
        <w:rPr>
          <w:rFonts w:hint="eastAsia" w:cs="Times New Roman"/>
          <w:color w:val="auto"/>
          <w:highlight w:val="none"/>
        </w:rPr>
        <w:t>%、水土流失总治理度</w:t>
      </w:r>
      <w:r>
        <w:rPr>
          <w:rFonts w:hint="eastAsia" w:cs="Times New Roman"/>
          <w:color w:val="auto"/>
          <w:highlight w:val="none"/>
          <w:lang w:eastAsia="zh-CN"/>
        </w:rPr>
        <w:t>99.63</w:t>
      </w:r>
      <w:r>
        <w:rPr>
          <w:rFonts w:hint="eastAsia" w:cs="Times New Roman"/>
          <w:color w:val="auto"/>
          <w:highlight w:val="none"/>
        </w:rPr>
        <w:t>%、土壤流失控制比</w:t>
      </w:r>
      <w:r>
        <w:rPr>
          <w:rFonts w:hint="eastAsia" w:cs="Times New Roman"/>
          <w:color w:val="auto"/>
          <w:highlight w:val="none"/>
          <w:lang w:eastAsia="zh-CN"/>
        </w:rPr>
        <w:t>1.23</w:t>
      </w:r>
      <w:r>
        <w:rPr>
          <w:rFonts w:hint="eastAsia" w:cs="Times New Roman"/>
          <w:color w:val="auto"/>
          <w:highlight w:val="none"/>
        </w:rPr>
        <w:t>、拦渣率</w:t>
      </w:r>
      <w:r>
        <w:rPr>
          <w:rFonts w:hint="eastAsia" w:cs="Times New Roman"/>
          <w:color w:val="auto"/>
          <w:highlight w:val="none"/>
          <w:lang w:eastAsia="zh-CN"/>
        </w:rPr>
        <w:t>99.84</w:t>
      </w:r>
      <w:r>
        <w:rPr>
          <w:rFonts w:hint="eastAsia" w:cs="Times New Roman"/>
          <w:color w:val="auto"/>
          <w:highlight w:val="none"/>
        </w:rPr>
        <w:t>%、林草植被恢复率</w:t>
      </w:r>
      <w:r>
        <w:rPr>
          <w:rFonts w:hint="eastAsia" w:cs="Times New Roman"/>
          <w:color w:val="auto"/>
          <w:highlight w:val="none"/>
          <w:lang w:eastAsia="zh-CN"/>
        </w:rPr>
        <w:t>99.61</w:t>
      </w:r>
      <w:r>
        <w:rPr>
          <w:rFonts w:hint="eastAsia" w:cs="Times New Roman"/>
          <w:color w:val="auto"/>
          <w:highlight w:val="none"/>
        </w:rPr>
        <w:t>%、林草覆盖率</w:t>
      </w:r>
      <w:r>
        <w:rPr>
          <w:rFonts w:hint="eastAsia" w:cs="Times New Roman"/>
          <w:color w:val="auto"/>
          <w:highlight w:val="none"/>
          <w:lang w:eastAsia="zh-CN"/>
        </w:rPr>
        <w:t>7.00</w:t>
      </w:r>
      <w:r>
        <w:rPr>
          <w:rFonts w:hint="eastAsia" w:cs="Times New Roman"/>
          <w:color w:val="auto"/>
          <w:highlight w:val="none"/>
        </w:rPr>
        <w:t xml:space="preserve"> %</w:t>
      </w:r>
      <w:r>
        <w:rPr>
          <w:rFonts w:cs="Times New Roman"/>
          <w:color w:val="auto"/>
          <w:highlight w:val="none"/>
        </w:rPr>
        <w:t>，六项防治标准均能达到并超过水保方案设计及现行国家规定</w:t>
      </w:r>
      <w:r>
        <w:rPr>
          <w:rFonts w:hint="eastAsia" w:cs="Times New Roman"/>
          <w:color w:val="auto"/>
          <w:highlight w:val="none"/>
        </w:rPr>
        <w:t>的</w:t>
      </w:r>
      <w:r>
        <w:rPr>
          <w:rFonts w:cs="Times New Roman"/>
          <w:color w:val="auto"/>
          <w:highlight w:val="none"/>
        </w:rPr>
        <w:t>水土流失防治目标。</w:t>
      </w:r>
    </w:p>
    <w:p>
      <w:pPr>
        <w:ind w:firstLine="480"/>
        <w:rPr>
          <w:rFonts w:cs="Times New Roman"/>
          <w:color w:val="auto"/>
          <w:highlight w:val="none"/>
        </w:rPr>
      </w:pPr>
      <w:r>
        <w:rPr>
          <w:rFonts w:cs="Times New Roman"/>
          <w:color w:val="auto"/>
          <w:highlight w:val="none"/>
        </w:rPr>
        <w:t>根据监理结果，本项目水土流失防治措施共划分为</w:t>
      </w:r>
      <w:r>
        <w:rPr>
          <w:rFonts w:hint="eastAsia" w:cs="Times New Roman"/>
          <w:color w:val="auto"/>
          <w:highlight w:val="none"/>
          <w:lang w:val="en-US" w:eastAsia="zh-CN"/>
        </w:rPr>
        <w:t>6</w:t>
      </w:r>
      <w:r>
        <w:rPr>
          <w:rFonts w:cs="Times New Roman"/>
          <w:color w:val="auto"/>
          <w:highlight w:val="none"/>
        </w:rPr>
        <w:t>个单位工程、</w:t>
      </w:r>
      <w:r>
        <w:rPr>
          <w:rFonts w:hint="eastAsia" w:cs="Times New Roman"/>
          <w:color w:val="auto"/>
          <w:highlight w:val="none"/>
          <w:lang w:val="en-US" w:eastAsia="zh-CN"/>
        </w:rPr>
        <w:t>8</w:t>
      </w:r>
      <w:r>
        <w:rPr>
          <w:rFonts w:cs="Times New Roman"/>
          <w:color w:val="auto"/>
          <w:highlight w:val="none"/>
        </w:rPr>
        <w:t xml:space="preserve">个分部工程、 </w:t>
      </w:r>
      <w:r>
        <w:rPr>
          <w:rFonts w:hint="eastAsia" w:cs="Times New Roman"/>
          <w:color w:val="auto"/>
          <w:highlight w:val="none"/>
        </w:rPr>
        <w:t>5</w:t>
      </w:r>
      <w:r>
        <w:rPr>
          <w:rFonts w:hint="eastAsia" w:cs="Times New Roman"/>
          <w:color w:val="auto"/>
          <w:highlight w:val="none"/>
          <w:lang w:val="en-US" w:eastAsia="zh-CN"/>
        </w:rPr>
        <w:t>8</w:t>
      </w:r>
      <w:r>
        <w:rPr>
          <w:rFonts w:cs="Times New Roman"/>
          <w:color w:val="auto"/>
          <w:highlight w:val="none"/>
        </w:rPr>
        <w:t>个单元工程中，单元工程全部合格，水土保持措施总体合格率100%，工程实际完成水土保持总投资</w:t>
      </w:r>
      <w:r>
        <w:rPr>
          <w:rFonts w:hint="eastAsia" w:cs="Times New Roman"/>
          <w:color w:val="auto"/>
          <w:highlight w:val="none"/>
          <w:lang w:eastAsia="zh-CN"/>
        </w:rPr>
        <w:t>94.83</w:t>
      </w:r>
      <w:r>
        <w:rPr>
          <w:rFonts w:cs="Times New Roman"/>
          <w:color w:val="auto"/>
          <w:highlight w:val="none"/>
        </w:rPr>
        <w:t>万元，较方案设计投资</w:t>
      </w:r>
      <w:r>
        <w:rPr>
          <w:rFonts w:hint="eastAsia" w:cs="Times New Roman"/>
          <w:color w:val="auto"/>
          <w:highlight w:val="none"/>
        </w:rPr>
        <w:t>增加</w:t>
      </w:r>
      <w:r>
        <w:rPr>
          <w:rFonts w:hint="eastAsia" w:cs="Times New Roman"/>
          <w:color w:val="auto"/>
          <w:highlight w:val="none"/>
          <w:lang w:eastAsia="zh-CN"/>
        </w:rPr>
        <w:t>1.64</w:t>
      </w:r>
      <w:r>
        <w:rPr>
          <w:rFonts w:cs="Times New Roman"/>
          <w:color w:val="auto"/>
          <w:highlight w:val="none"/>
        </w:rPr>
        <w:t>万元，</w:t>
      </w:r>
      <w:r>
        <w:rPr>
          <w:rFonts w:hint="eastAsia" w:cs="Times New Roman"/>
          <w:color w:val="auto"/>
          <w:highlight w:val="none"/>
        </w:rPr>
        <w:t>增加</w:t>
      </w:r>
      <w:r>
        <w:rPr>
          <w:rFonts w:hint="eastAsia" w:cs="Times New Roman"/>
          <w:color w:val="auto"/>
          <w:highlight w:val="none"/>
          <w:lang w:eastAsia="zh-CN"/>
        </w:rPr>
        <w:t>1.73</w:t>
      </w:r>
      <w:r>
        <w:rPr>
          <w:rFonts w:hint="eastAsia" w:cs="Times New Roman"/>
          <w:color w:val="auto"/>
          <w:highlight w:val="none"/>
        </w:rPr>
        <w:t xml:space="preserve"> %</w:t>
      </w:r>
      <w:r>
        <w:rPr>
          <w:rFonts w:cs="Times New Roman"/>
          <w:color w:val="auto"/>
          <w:highlight w:val="none"/>
        </w:rPr>
        <w:t>。</w:t>
      </w:r>
    </w:p>
    <w:p>
      <w:pPr>
        <w:ind w:firstLine="480"/>
        <w:rPr>
          <w:rFonts w:cs="Times New Roman"/>
          <w:color w:val="auto"/>
          <w:highlight w:val="none"/>
        </w:rPr>
      </w:pPr>
      <w:r>
        <w:rPr>
          <w:rFonts w:cs="Times New Roman"/>
          <w:color w:val="auto"/>
          <w:highlight w:val="none"/>
        </w:rPr>
        <w:t>验收报告编制期间，验收组走访了</w:t>
      </w:r>
      <w:r>
        <w:rPr>
          <w:rFonts w:hint="eastAsia" w:cs="Times New Roman"/>
          <w:color w:val="auto"/>
          <w:highlight w:val="none"/>
        </w:rPr>
        <w:t>项目所在地周边</w:t>
      </w:r>
      <w:r>
        <w:rPr>
          <w:rFonts w:cs="Times New Roman"/>
          <w:color w:val="auto"/>
          <w:highlight w:val="none"/>
        </w:rPr>
        <w:t>居民，调查了解工程施工期间的水土流失及其危害情况、防治情况和防治效果，完成了水土保持公众满意度调查工作</w:t>
      </w:r>
      <w:r>
        <w:rPr>
          <w:rFonts w:hint="eastAsia" w:cs="Times New Roman"/>
          <w:color w:val="auto"/>
          <w:highlight w:val="none"/>
        </w:rPr>
        <w:t>，调查结果显示该项目建设期水土保持效果良好。</w:t>
      </w:r>
    </w:p>
    <w:p>
      <w:pPr>
        <w:ind w:firstLine="480"/>
        <w:rPr>
          <w:rFonts w:cs="Times New Roman"/>
          <w:color w:val="auto"/>
          <w:highlight w:val="none"/>
        </w:rPr>
      </w:pPr>
      <w:r>
        <w:rPr>
          <w:rFonts w:cs="Times New Roman"/>
          <w:color w:val="auto"/>
          <w:highlight w:val="none"/>
        </w:rPr>
        <w:t>综上，验收工作组认为建设单位依法编报了</w:t>
      </w:r>
      <w:r>
        <w:rPr>
          <w:rFonts w:hint="eastAsia" w:cs="Times New Roman"/>
          <w:color w:val="auto"/>
          <w:highlight w:val="none"/>
        </w:rPr>
        <w:t>项目</w:t>
      </w:r>
      <w:r>
        <w:rPr>
          <w:rFonts w:cs="Times New Roman"/>
          <w:color w:val="auto"/>
          <w:highlight w:val="none"/>
        </w:rPr>
        <w:t>水土保持方案报告书</w:t>
      </w:r>
      <w:r>
        <w:rPr>
          <w:rFonts w:hint="eastAsia" w:cs="Times New Roman"/>
          <w:color w:val="auto"/>
          <w:highlight w:val="none"/>
        </w:rPr>
        <w:t>、水土保持监测总结报告等资料</w:t>
      </w:r>
      <w:r>
        <w:rPr>
          <w:rFonts w:cs="Times New Roman"/>
          <w:color w:val="auto"/>
          <w:highlight w:val="none"/>
        </w:rPr>
        <w:t>，审批手续完备；水土保持工程管理、设计、施工、监理、财务等建档资料齐全；水土保持设施按批复的水土保持方案的要求建成，建成的水土保持设施质量总体合格，符合水土保持的要求；工程建设期间管理制度健全，较好地控制了工程建设中的水土流失；方案设计的六大指标均达到批复的水土保持方案报告书的要求。水土保持设施具备正常运行条件，且能持续、安全、有效运转，符合交付使用要求；水土保持设施的管理、维护措施已得到落实，可以组织水土保持竣工验收。</w:t>
      </w:r>
    </w:p>
    <w:p>
      <w:pPr>
        <w:ind w:firstLine="480"/>
        <w:rPr>
          <w:rFonts w:cs="Times New Roman"/>
          <w:color w:val="auto"/>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417" w:left="1417" w:header="851" w:footer="680" w:gutter="0"/>
          <w:pgBorders>
            <w:top w:val="none" w:sz="0" w:space="0"/>
            <w:left w:val="none" w:sz="0" w:space="0"/>
            <w:bottom w:val="none" w:sz="0" w:space="0"/>
            <w:right w:val="none" w:sz="0" w:space="0"/>
          </w:pgBorders>
          <w:pgNumType w:start="1"/>
          <w:cols w:space="425" w:num="1"/>
          <w:docGrid w:type="lines" w:linePitch="312" w:charSpace="0"/>
        </w:sectPr>
      </w:pPr>
      <w:r>
        <w:rPr>
          <w:rFonts w:cs="Times New Roman"/>
          <w:color w:val="auto"/>
          <w:highlight w:val="none"/>
        </w:rPr>
        <w:t>验收过程中，得到了建设单位、施工单位、设计单位、主体监理单位</w:t>
      </w:r>
      <w:r>
        <w:rPr>
          <w:rFonts w:hint="eastAsia" w:cs="Times New Roman"/>
          <w:color w:val="auto"/>
          <w:highlight w:val="none"/>
        </w:rPr>
        <w:t>、监测单位</w:t>
      </w:r>
      <w:r>
        <w:rPr>
          <w:rFonts w:cs="Times New Roman"/>
          <w:color w:val="auto"/>
          <w:highlight w:val="none"/>
        </w:rPr>
        <w:t>等参建单位的协助及</w:t>
      </w:r>
      <w:r>
        <w:rPr>
          <w:rFonts w:hint="eastAsia" w:cs="Times New Roman"/>
          <w:color w:val="auto"/>
          <w:highlight w:val="none"/>
          <w:lang w:eastAsia="zh-CN"/>
        </w:rPr>
        <w:t>天府新区成都管委会规划建设局</w:t>
      </w:r>
      <w:r>
        <w:rPr>
          <w:rFonts w:cs="Times New Roman"/>
          <w:color w:val="auto"/>
          <w:highlight w:val="none"/>
        </w:rPr>
        <w:t>的指导和帮助，在此一并表示衷心的感谢！</w:t>
      </w:r>
    </w:p>
    <w:p>
      <w:pPr>
        <w:ind w:firstLine="480"/>
        <w:jc w:val="center"/>
        <w:rPr>
          <w:rFonts w:eastAsia="黑体" w:cs="Times New Roman"/>
          <w:color w:val="auto"/>
          <w:szCs w:val="21"/>
          <w:highlight w:val="none"/>
        </w:rPr>
      </w:pPr>
      <w:r>
        <w:rPr>
          <w:rFonts w:eastAsia="黑体" w:cs="Times New Roman"/>
          <w:color w:val="auto"/>
          <w:szCs w:val="21"/>
          <w:highlight w:val="none"/>
        </w:rPr>
        <w:t>水土保持设施验收报告特性表</w:t>
      </w:r>
    </w:p>
    <w:tbl>
      <w:tblPr>
        <w:tblStyle w:val="11"/>
        <w:tblW w:w="928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18"/>
        <w:gridCol w:w="908"/>
        <w:gridCol w:w="418"/>
        <w:gridCol w:w="877"/>
        <w:gridCol w:w="1815"/>
        <w:gridCol w:w="67"/>
        <w:gridCol w:w="854"/>
        <w:gridCol w:w="496"/>
        <w:gridCol w:w="434"/>
        <w:gridCol w:w="788"/>
        <w:gridCol w:w="201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Align w:val="center"/>
          </w:tcPr>
          <w:p>
            <w:pPr>
              <w:adjustRightInd w:val="0"/>
              <w:snapToGrid w:val="0"/>
              <w:spacing w:line="240" w:lineRule="auto"/>
              <w:ind w:firstLine="0" w:firstLineChars="0"/>
              <w:jc w:val="center"/>
              <w:rPr>
                <w:rFonts w:cs="Times New Roman"/>
                <w:bCs/>
                <w:caps/>
                <w:color w:val="auto"/>
                <w:sz w:val="18"/>
                <w:szCs w:val="18"/>
                <w:highlight w:val="none"/>
              </w:rPr>
            </w:pPr>
            <w:r>
              <w:rPr>
                <w:rFonts w:cs="Times New Roman"/>
                <w:bCs/>
                <w:caps/>
                <w:color w:val="auto"/>
                <w:sz w:val="18"/>
                <w:szCs w:val="18"/>
                <w:highlight w:val="none"/>
              </w:rPr>
              <w:t>验收工程名称</w:t>
            </w:r>
          </w:p>
        </w:tc>
        <w:tc>
          <w:tcPr>
            <w:tcW w:w="2692" w:type="dxa"/>
            <w:gridSpan w:val="2"/>
            <w:vAlign w:val="center"/>
          </w:tcPr>
          <w:p>
            <w:pPr>
              <w:adjustRightInd w:val="0"/>
              <w:snapToGrid w:val="0"/>
              <w:spacing w:line="240" w:lineRule="auto"/>
              <w:ind w:firstLine="0" w:firstLineChars="0"/>
              <w:jc w:val="center"/>
              <w:rPr>
                <w:rFonts w:hint="eastAsia" w:eastAsia="仿宋" w:cs="Times New Roman"/>
                <w:color w:val="auto"/>
                <w:sz w:val="18"/>
                <w:szCs w:val="18"/>
                <w:highlight w:val="none"/>
                <w:lang w:eastAsia="zh-CN"/>
              </w:rPr>
            </w:pPr>
            <w:r>
              <w:rPr>
                <w:rFonts w:hint="eastAsia" w:cs="Times New Roman"/>
                <w:color w:val="auto"/>
                <w:sz w:val="18"/>
                <w:szCs w:val="18"/>
                <w:highlight w:val="none"/>
                <w:lang w:eastAsia="zh-CN"/>
              </w:rPr>
              <w:t>上海千缘汽车车身模具有限公司关于汽车零部件制造的项目</w:t>
            </w:r>
          </w:p>
        </w:tc>
        <w:tc>
          <w:tcPr>
            <w:tcW w:w="1851" w:type="dxa"/>
            <w:gridSpan w:val="4"/>
            <w:vAlign w:val="center"/>
          </w:tcPr>
          <w:p>
            <w:pPr>
              <w:adjustRightInd w:val="0"/>
              <w:snapToGrid w:val="0"/>
              <w:spacing w:line="240" w:lineRule="auto"/>
              <w:ind w:right="-122" w:rightChars="-51" w:firstLine="0" w:firstLineChars="0"/>
              <w:jc w:val="center"/>
              <w:rPr>
                <w:rFonts w:cs="Times New Roman"/>
                <w:bCs/>
                <w:caps/>
                <w:color w:val="auto"/>
                <w:sz w:val="18"/>
                <w:szCs w:val="18"/>
                <w:highlight w:val="none"/>
              </w:rPr>
            </w:pPr>
            <w:r>
              <w:rPr>
                <w:rFonts w:cs="Times New Roman"/>
                <w:bCs/>
                <w:caps/>
                <w:color w:val="auto"/>
                <w:sz w:val="18"/>
                <w:szCs w:val="18"/>
                <w:highlight w:val="none"/>
              </w:rPr>
              <w:t>验收工程地点</w:t>
            </w:r>
          </w:p>
        </w:tc>
        <w:tc>
          <w:tcPr>
            <w:tcW w:w="2801" w:type="dxa"/>
            <w:gridSpan w:val="2"/>
            <w:vAlign w:val="center"/>
          </w:tcPr>
          <w:p>
            <w:pPr>
              <w:adjustRightInd w:val="0"/>
              <w:snapToGrid w:val="0"/>
              <w:spacing w:line="240" w:lineRule="auto"/>
              <w:ind w:firstLine="0" w:firstLineChars="0"/>
              <w:jc w:val="center"/>
              <w:rPr>
                <w:rFonts w:hint="eastAsia" w:eastAsia="仿宋" w:cs="Times New Roman"/>
                <w:color w:val="auto"/>
                <w:sz w:val="18"/>
                <w:szCs w:val="18"/>
                <w:highlight w:val="none"/>
                <w:lang w:eastAsia="zh-CN"/>
              </w:rPr>
            </w:pPr>
            <w:r>
              <w:rPr>
                <w:rFonts w:hint="eastAsia" w:cs="Times New Roman"/>
                <w:color w:val="auto"/>
                <w:sz w:val="18"/>
                <w:szCs w:val="18"/>
                <w:highlight w:val="none"/>
                <w:lang w:eastAsia="zh-CN"/>
              </w:rPr>
              <w:t>成都市天府新区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验收工程性质</w:t>
            </w:r>
          </w:p>
        </w:tc>
        <w:tc>
          <w:tcPr>
            <w:tcW w:w="2692" w:type="dxa"/>
            <w:gridSpan w:val="2"/>
            <w:vAlign w:val="center"/>
          </w:tcPr>
          <w:p>
            <w:pPr>
              <w:adjustRightInd w:val="0"/>
              <w:snapToGrid w:val="0"/>
              <w:spacing w:line="240" w:lineRule="auto"/>
              <w:ind w:firstLine="0" w:firstLineChars="0"/>
              <w:jc w:val="center"/>
              <w:rPr>
                <w:rFonts w:cs="Times New Roman"/>
                <w:color w:val="auto"/>
                <w:sz w:val="18"/>
                <w:szCs w:val="18"/>
                <w:highlight w:val="none"/>
              </w:rPr>
            </w:pPr>
            <w:r>
              <w:rPr>
                <w:rFonts w:cs="Times New Roman"/>
                <w:color w:val="auto"/>
                <w:sz w:val="18"/>
                <w:szCs w:val="18"/>
                <w:highlight w:val="none"/>
              </w:rPr>
              <w:t>新建</w:t>
            </w:r>
          </w:p>
        </w:tc>
        <w:tc>
          <w:tcPr>
            <w:tcW w:w="1851" w:type="dxa"/>
            <w:gridSpan w:val="4"/>
            <w:vAlign w:val="center"/>
          </w:tcPr>
          <w:p>
            <w:pPr>
              <w:adjustRightInd w:val="0"/>
              <w:snapToGrid w:val="0"/>
              <w:spacing w:line="240" w:lineRule="auto"/>
              <w:ind w:right="-122" w:rightChars="-51" w:firstLine="0" w:firstLineChars="0"/>
              <w:jc w:val="center"/>
              <w:rPr>
                <w:rFonts w:cs="Times New Roman"/>
                <w:bCs/>
                <w:color w:val="auto"/>
                <w:sz w:val="18"/>
                <w:szCs w:val="18"/>
                <w:highlight w:val="none"/>
              </w:rPr>
            </w:pPr>
            <w:r>
              <w:rPr>
                <w:rFonts w:cs="Times New Roman"/>
                <w:bCs/>
                <w:color w:val="auto"/>
                <w:sz w:val="18"/>
                <w:szCs w:val="18"/>
                <w:highlight w:val="none"/>
              </w:rPr>
              <w:t>验收工程规模</w:t>
            </w:r>
          </w:p>
        </w:tc>
        <w:tc>
          <w:tcPr>
            <w:tcW w:w="2801" w:type="dxa"/>
            <w:gridSpan w:val="2"/>
            <w:vAlign w:val="center"/>
          </w:tcPr>
          <w:p>
            <w:pPr>
              <w:adjustRightInd w:val="0"/>
              <w:snapToGrid w:val="0"/>
              <w:spacing w:line="240" w:lineRule="auto"/>
              <w:ind w:firstLine="0" w:firstLineChars="0"/>
              <w:jc w:val="center"/>
              <w:rPr>
                <w:rFonts w:cs="Times New Roman"/>
                <w:color w:val="auto"/>
                <w:sz w:val="18"/>
                <w:szCs w:val="18"/>
                <w:highlight w:val="none"/>
              </w:rPr>
            </w:pPr>
            <w:r>
              <w:rPr>
                <w:rFonts w:hint="eastAsia" w:cs="Times New Roman"/>
                <w:color w:val="auto"/>
                <w:sz w:val="18"/>
                <w:szCs w:val="18"/>
                <w:highlight w:val="none"/>
              </w:rPr>
              <w:t>包括生产用房及配套设施，总建筑面积33188.21m</w:t>
            </w:r>
            <w:r>
              <w:rPr>
                <w:rFonts w:hint="eastAsia" w:cs="Times New Roman"/>
                <w:color w:val="auto"/>
                <w:sz w:val="18"/>
                <w:szCs w:val="18"/>
                <w:highlight w:val="none"/>
                <w:vertAlign w:val="superscript"/>
              </w:rPr>
              <w:t>2</w:t>
            </w:r>
            <w:r>
              <w:rPr>
                <w:rFonts w:hint="eastAsia" w:cs="Times New Roman"/>
                <w:color w:val="auto"/>
                <w:sz w:val="18"/>
                <w:szCs w:val="18"/>
                <w:highlight w:val="none"/>
              </w:rPr>
              <w:t>，其中地上建筑面积32225.80m</w:t>
            </w:r>
            <w:r>
              <w:rPr>
                <w:rFonts w:hint="eastAsia" w:cs="Times New Roman"/>
                <w:color w:val="auto"/>
                <w:sz w:val="18"/>
                <w:szCs w:val="18"/>
                <w:highlight w:val="none"/>
                <w:vertAlign w:val="superscript"/>
              </w:rPr>
              <w:t>2</w:t>
            </w:r>
            <w:r>
              <w:rPr>
                <w:rFonts w:hint="eastAsia" w:cs="Times New Roman"/>
                <w:color w:val="auto"/>
                <w:sz w:val="18"/>
                <w:szCs w:val="18"/>
                <w:highlight w:val="none"/>
              </w:rPr>
              <w:t>，地下建筑面积962.41m</w:t>
            </w:r>
            <w:r>
              <w:rPr>
                <w:rFonts w:hint="eastAsia" w:cs="Times New Roman"/>
                <w:color w:val="auto"/>
                <w:sz w:val="18"/>
                <w:szCs w:val="18"/>
                <w:highlight w:val="none"/>
                <w:vertAlign w:val="superscript"/>
              </w:rPr>
              <w:t>2</w:t>
            </w:r>
            <w:r>
              <w:rPr>
                <w:rFonts w:hint="eastAsia" w:cs="Times New Roman"/>
                <w:color w:val="auto"/>
                <w:sz w:val="18"/>
                <w:szCs w:val="18"/>
                <w:highlight w:val="none"/>
              </w:rPr>
              <w:t>。绿地面</w:t>
            </w:r>
            <w:r>
              <w:rPr>
                <w:rFonts w:hint="eastAsia" w:cs="Times New Roman"/>
                <w:color w:val="auto"/>
                <w:sz w:val="18"/>
                <w:szCs w:val="18"/>
                <w:highlight w:val="none"/>
                <w:lang w:val="en-US" w:eastAsia="zh-CN"/>
              </w:rPr>
              <w:t>积</w:t>
            </w:r>
            <w:r>
              <w:rPr>
                <w:rFonts w:hint="eastAsia" w:cs="Times New Roman"/>
                <w:color w:val="auto"/>
                <w:sz w:val="18"/>
                <w:szCs w:val="18"/>
                <w:highlight w:val="none"/>
              </w:rPr>
              <w:t>2078.53m</w:t>
            </w:r>
            <w:r>
              <w:rPr>
                <w:rFonts w:hint="eastAsia" w:cs="Times New Roman"/>
                <w:color w:val="auto"/>
                <w:sz w:val="18"/>
                <w:szCs w:val="18"/>
                <w:highlight w:val="none"/>
                <w:vertAlign w:val="superscript"/>
              </w:rPr>
              <w:t>2</w:t>
            </w:r>
            <w:r>
              <w:rPr>
                <w:rFonts w:hint="eastAsia" w:cs="Times New Roman"/>
                <w:color w:val="auto"/>
                <w:sz w:val="18"/>
                <w:szCs w:val="18"/>
                <w:highlight w:val="none"/>
              </w:rPr>
              <w:t>，绿地率4.67%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流域管理机构</w:t>
            </w:r>
          </w:p>
        </w:tc>
        <w:tc>
          <w:tcPr>
            <w:tcW w:w="2692" w:type="dxa"/>
            <w:gridSpan w:val="2"/>
            <w:vAlign w:val="center"/>
          </w:tcPr>
          <w:p>
            <w:pPr>
              <w:adjustRightInd w:val="0"/>
              <w:snapToGrid w:val="0"/>
              <w:spacing w:line="240" w:lineRule="auto"/>
              <w:ind w:firstLine="0" w:firstLineChars="0"/>
              <w:jc w:val="center"/>
              <w:rPr>
                <w:rFonts w:cs="Times New Roman"/>
                <w:color w:val="auto"/>
                <w:sz w:val="18"/>
                <w:szCs w:val="18"/>
                <w:highlight w:val="none"/>
              </w:rPr>
            </w:pPr>
            <w:r>
              <w:rPr>
                <w:rFonts w:cs="Times New Roman"/>
                <w:color w:val="auto"/>
                <w:sz w:val="18"/>
                <w:szCs w:val="18"/>
                <w:highlight w:val="none"/>
              </w:rPr>
              <w:t>长江水利委员会</w:t>
            </w:r>
          </w:p>
        </w:tc>
        <w:tc>
          <w:tcPr>
            <w:tcW w:w="1851" w:type="dxa"/>
            <w:gridSpan w:val="4"/>
            <w:vAlign w:val="center"/>
          </w:tcPr>
          <w:p>
            <w:pPr>
              <w:adjustRightInd w:val="0"/>
              <w:snapToGrid w:val="0"/>
              <w:spacing w:line="240" w:lineRule="auto"/>
              <w:ind w:right="-122" w:rightChars="-51" w:firstLine="0" w:firstLineChars="0"/>
              <w:jc w:val="center"/>
              <w:rPr>
                <w:rFonts w:cs="Times New Roman"/>
                <w:bCs/>
                <w:color w:val="auto"/>
                <w:sz w:val="18"/>
                <w:szCs w:val="18"/>
                <w:highlight w:val="none"/>
              </w:rPr>
            </w:pPr>
            <w:r>
              <w:rPr>
                <w:rFonts w:cs="Times New Roman"/>
                <w:bCs/>
                <w:color w:val="auto"/>
                <w:sz w:val="18"/>
                <w:szCs w:val="18"/>
                <w:highlight w:val="none"/>
              </w:rPr>
              <w:t>所属国家级/省级水土流失重点防治区</w:t>
            </w:r>
          </w:p>
        </w:tc>
        <w:tc>
          <w:tcPr>
            <w:tcW w:w="2801" w:type="dxa"/>
            <w:gridSpan w:val="2"/>
            <w:vAlign w:val="center"/>
          </w:tcPr>
          <w:p>
            <w:pPr>
              <w:adjustRightInd w:val="0"/>
              <w:snapToGrid w:val="0"/>
              <w:spacing w:line="240" w:lineRule="auto"/>
              <w:ind w:firstLine="0" w:firstLineChars="0"/>
              <w:jc w:val="center"/>
              <w:rPr>
                <w:rFonts w:hint="eastAsia" w:eastAsia="仿宋" w:cs="Times New Roman"/>
                <w:color w:val="auto"/>
                <w:sz w:val="18"/>
                <w:szCs w:val="18"/>
                <w:highlight w:val="none"/>
                <w:lang w:eastAsia="zh-CN"/>
              </w:rPr>
            </w:pPr>
            <w:r>
              <w:rPr>
                <w:rFonts w:hint="eastAsia" w:cs="Times New Roman"/>
                <w:color w:val="auto"/>
                <w:sz w:val="18"/>
                <w:szCs w:val="18"/>
                <w:highlight w:val="none"/>
                <w:lang w:val="en-US" w:eastAsia="zh-CN"/>
              </w:rPr>
              <w:t>不涉及</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水土保持方案审批</w:t>
            </w:r>
          </w:p>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部门、文号及时间</w:t>
            </w:r>
          </w:p>
        </w:tc>
        <w:tc>
          <w:tcPr>
            <w:tcW w:w="7344" w:type="dxa"/>
            <w:gridSpan w:val="8"/>
            <w:vAlign w:val="center"/>
          </w:tcPr>
          <w:p>
            <w:pPr>
              <w:adjustRightInd w:val="0"/>
              <w:snapToGrid w:val="0"/>
              <w:spacing w:line="240" w:lineRule="auto"/>
              <w:ind w:firstLine="0" w:firstLineChars="0"/>
              <w:jc w:val="center"/>
              <w:rPr>
                <w:rFonts w:cs="Times New Roman"/>
                <w:color w:val="auto"/>
                <w:sz w:val="18"/>
                <w:szCs w:val="18"/>
                <w:highlight w:val="none"/>
              </w:rPr>
            </w:pPr>
            <w:r>
              <w:rPr>
                <w:rFonts w:hint="eastAsia" w:cs="Times New Roman"/>
                <w:color w:val="auto"/>
                <w:sz w:val="18"/>
                <w:szCs w:val="18"/>
                <w:highlight w:val="none"/>
                <w:lang w:eastAsia="zh-CN"/>
              </w:rPr>
              <w:t>天府新区成都管委会规划建设局</w:t>
            </w:r>
            <w:r>
              <w:rPr>
                <w:rFonts w:hint="eastAsia" w:cs="Times New Roman"/>
                <w:color w:val="auto"/>
                <w:sz w:val="18"/>
                <w:szCs w:val="18"/>
                <w:highlight w:val="none"/>
              </w:rPr>
              <w:t>，</w:t>
            </w:r>
            <w:r>
              <w:rPr>
                <w:rFonts w:hint="eastAsia" w:cs="Times New Roman"/>
                <w:color w:val="auto"/>
                <w:sz w:val="18"/>
                <w:szCs w:val="18"/>
                <w:highlight w:val="none"/>
                <w:lang w:eastAsia="zh-CN"/>
              </w:rPr>
              <w:t>天成管规建城复[2016]210号</w:t>
            </w:r>
            <w:r>
              <w:rPr>
                <w:rFonts w:cs="Times New Roman"/>
                <w:color w:val="auto"/>
                <w:sz w:val="18"/>
                <w:szCs w:val="18"/>
                <w:highlight w:val="none"/>
              </w:rPr>
              <w:t>，</w:t>
            </w:r>
            <w:r>
              <w:rPr>
                <w:rFonts w:hint="eastAsia" w:cs="Times New Roman"/>
                <w:color w:val="auto"/>
                <w:sz w:val="18"/>
                <w:szCs w:val="18"/>
                <w:highlight w:val="none"/>
                <w:lang w:eastAsia="zh-CN"/>
              </w:rPr>
              <w:t>2016年8月29日</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工　期</w:t>
            </w:r>
          </w:p>
        </w:tc>
        <w:tc>
          <w:tcPr>
            <w:tcW w:w="2692"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主体工程</w:t>
            </w:r>
          </w:p>
        </w:tc>
        <w:tc>
          <w:tcPr>
            <w:tcW w:w="4652" w:type="dxa"/>
            <w:gridSpan w:val="6"/>
            <w:vAlign w:val="center"/>
          </w:tcPr>
          <w:p>
            <w:pPr>
              <w:adjustRightInd w:val="0"/>
              <w:snapToGrid w:val="0"/>
              <w:spacing w:line="240" w:lineRule="auto"/>
              <w:ind w:firstLine="0" w:firstLineChars="0"/>
              <w:jc w:val="center"/>
              <w:rPr>
                <w:rFonts w:hint="eastAsia" w:eastAsia="仿宋" w:cs="Times New Roman"/>
                <w:color w:val="auto"/>
                <w:sz w:val="18"/>
                <w:szCs w:val="18"/>
                <w:highlight w:val="none"/>
                <w:lang w:eastAsia="zh-CN"/>
              </w:rPr>
            </w:pPr>
            <w:r>
              <w:rPr>
                <w:rFonts w:hint="eastAsia" w:cs="Times New Roman"/>
                <w:color w:val="auto"/>
                <w:sz w:val="18"/>
                <w:szCs w:val="18"/>
                <w:highlight w:val="none"/>
                <w:lang w:eastAsia="zh-CN"/>
              </w:rPr>
              <w:t>2016年9月</w:t>
            </w:r>
            <w:r>
              <w:rPr>
                <w:rFonts w:cs="Times New Roman"/>
                <w:color w:val="auto"/>
                <w:sz w:val="18"/>
                <w:szCs w:val="18"/>
                <w:highlight w:val="none"/>
              </w:rPr>
              <w:t>～</w:t>
            </w:r>
            <w:r>
              <w:rPr>
                <w:rFonts w:hint="eastAsia" w:cs="Times New Roman"/>
                <w:color w:val="auto"/>
                <w:sz w:val="18"/>
                <w:szCs w:val="18"/>
                <w:highlight w:val="none"/>
                <w:lang w:eastAsia="zh-CN"/>
              </w:rPr>
              <w:t>2017年9月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Merge w:val="restart"/>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防治责任范围(hm</w:t>
            </w:r>
            <w:r>
              <w:rPr>
                <w:rFonts w:cs="Times New Roman"/>
                <w:bCs/>
                <w:color w:val="auto"/>
                <w:sz w:val="18"/>
                <w:szCs w:val="18"/>
                <w:highlight w:val="none"/>
                <w:vertAlign w:val="superscript"/>
              </w:rPr>
              <w:t>2</w:t>
            </w:r>
            <w:r>
              <w:rPr>
                <w:rFonts w:cs="Times New Roman"/>
                <w:bCs/>
                <w:color w:val="auto"/>
                <w:sz w:val="18"/>
                <w:szCs w:val="18"/>
                <w:highlight w:val="none"/>
              </w:rPr>
              <w:t>)</w:t>
            </w:r>
          </w:p>
        </w:tc>
        <w:tc>
          <w:tcPr>
            <w:tcW w:w="3613" w:type="dxa"/>
            <w:gridSpan w:val="4"/>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水土保持方案确定的防治责任范围</w:t>
            </w:r>
          </w:p>
        </w:tc>
        <w:tc>
          <w:tcPr>
            <w:tcW w:w="3731" w:type="dxa"/>
            <w:gridSpan w:val="4"/>
            <w:vAlign w:val="center"/>
          </w:tcPr>
          <w:p>
            <w:pPr>
              <w:adjustRightInd w:val="0"/>
              <w:snapToGrid w:val="0"/>
              <w:spacing w:line="240" w:lineRule="auto"/>
              <w:ind w:firstLine="0" w:firstLineChars="0"/>
              <w:jc w:val="center"/>
              <w:rPr>
                <w:rFonts w:cs="Times New Roman"/>
                <w:color w:val="auto"/>
                <w:sz w:val="18"/>
                <w:szCs w:val="18"/>
                <w:highlight w:val="none"/>
              </w:rPr>
            </w:pPr>
            <w:r>
              <w:rPr>
                <w:rFonts w:hint="eastAsia" w:cs="Times New Roman"/>
                <w:color w:val="auto"/>
                <w:sz w:val="18"/>
                <w:szCs w:val="18"/>
                <w:highlight w:val="none"/>
                <w:lang w:eastAsia="zh-CN"/>
              </w:rPr>
              <w:t>4.45</w:t>
            </w:r>
            <w:r>
              <w:rPr>
                <w:rFonts w:cs="Times New Roman"/>
                <w:color w:val="auto"/>
                <w:sz w:val="18"/>
                <w:szCs w:val="18"/>
                <w:highlight w:val="none"/>
              </w:rPr>
              <w:t>hm</w:t>
            </w:r>
            <w:r>
              <w:rPr>
                <w:rFonts w:cs="Times New Roman"/>
                <w:color w:val="auto"/>
                <w:sz w:val="18"/>
                <w:szCs w:val="18"/>
                <w:highlight w:val="none"/>
                <w:vertAlign w:val="superscript"/>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3613" w:type="dxa"/>
            <w:gridSpan w:val="4"/>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验收防治责任范围</w:t>
            </w:r>
          </w:p>
        </w:tc>
        <w:tc>
          <w:tcPr>
            <w:tcW w:w="3731" w:type="dxa"/>
            <w:gridSpan w:val="4"/>
            <w:vAlign w:val="center"/>
          </w:tcPr>
          <w:p>
            <w:pPr>
              <w:adjustRightInd w:val="0"/>
              <w:snapToGrid w:val="0"/>
              <w:spacing w:line="240" w:lineRule="auto"/>
              <w:ind w:firstLine="0" w:firstLineChars="0"/>
              <w:jc w:val="center"/>
              <w:rPr>
                <w:rFonts w:cs="Times New Roman"/>
                <w:color w:val="auto"/>
                <w:sz w:val="18"/>
                <w:szCs w:val="18"/>
                <w:highlight w:val="none"/>
              </w:rPr>
            </w:pPr>
            <w:r>
              <w:rPr>
                <w:rFonts w:hint="eastAsia" w:cs="Times New Roman"/>
                <w:color w:val="auto"/>
                <w:sz w:val="18"/>
                <w:szCs w:val="18"/>
                <w:highlight w:val="none"/>
                <w:lang w:eastAsia="zh-CN"/>
              </w:rPr>
              <w:t>4.45</w:t>
            </w:r>
            <w:r>
              <w:rPr>
                <w:rFonts w:cs="Times New Roman"/>
                <w:color w:val="auto"/>
                <w:sz w:val="18"/>
                <w:szCs w:val="18"/>
                <w:highlight w:val="none"/>
              </w:rPr>
              <w:t>hm</w:t>
            </w:r>
            <w:r>
              <w:rPr>
                <w:rFonts w:cs="Times New Roman"/>
                <w:color w:val="auto"/>
                <w:sz w:val="18"/>
                <w:szCs w:val="18"/>
                <w:highlight w:val="none"/>
                <w:vertAlign w:val="superscript"/>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18" w:type="dxa"/>
            <w:vMerge w:val="restart"/>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方案确定的设计水平年防治目标</w:t>
            </w:r>
          </w:p>
        </w:tc>
        <w:tc>
          <w:tcPr>
            <w:tcW w:w="13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扰动土地整治率</w:t>
            </w:r>
          </w:p>
        </w:tc>
        <w:tc>
          <w:tcPr>
            <w:tcW w:w="2692" w:type="dxa"/>
            <w:gridSpan w:val="2"/>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rPr>
              <w:t>95%</w:t>
            </w:r>
          </w:p>
        </w:tc>
        <w:tc>
          <w:tcPr>
            <w:tcW w:w="921" w:type="dxa"/>
            <w:gridSpan w:val="2"/>
            <w:vMerge w:val="restart"/>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防治目标实现值</w:t>
            </w:r>
          </w:p>
        </w:tc>
        <w:tc>
          <w:tcPr>
            <w:tcW w:w="1718"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扰动土地整治率</w:t>
            </w:r>
          </w:p>
        </w:tc>
        <w:tc>
          <w:tcPr>
            <w:tcW w:w="2013" w:type="dxa"/>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lang w:eastAsia="zh-CN"/>
              </w:rPr>
              <w:t>99.97</w:t>
            </w:r>
            <w:r>
              <w:rPr>
                <w:rFonts w:hint="eastAsia" w:cs="Times New Roman"/>
                <w:color w:val="auto"/>
                <w:kern w:val="0"/>
                <w:sz w:val="18"/>
                <w:szCs w:val="18"/>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18" w:type="dxa"/>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3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水土流失</w:t>
            </w:r>
            <w:r>
              <w:rPr>
                <w:rFonts w:hint="eastAsia" w:cs="Times New Roman"/>
                <w:bCs/>
                <w:color w:val="auto"/>
                <w:sz w:val="18"/>
                <w:szCs w:val="18"/>
                <w:highlight w:val="none"/>
              </w:rPr>
              <w:t>总</w:t>
            </w:r>
            <w:r>
              <w:rPr>
                <w:rFonts w:cs="Times New Roman"/>
                <w:bCs/>
                <w:color w:val="auto"/>
                <w:sz w:val="18"/>
                <w:szCs w:val="18"/>
                <w:highlight w:val="none"/>
              </w:rPr>
              <w:t>治理度</w:t>
            </w:r>
          </w:p>
        </w:tc>
        <w:tc>
          <w:tcPr>
            <w:tcW w:w="2692" w:type="dxa"/>
            <w:gridSpan w:val="2"/>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rPr>
              <w:t>97%</w:t>
            </w:r>
          </w:p>
        </w:tc>
        <w:tc>
          <w:tcPr>
            <w:tcW w:w="921"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718"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水土流失</w:t>
            </w:r>
            <w:r>
              <w:rPr>
                <w:rFonts w:hint="eastAsia" w:cs="Times New Roman"/>
                <w:bCs/>
                <w:color w:val="auto"/>
                <w:sz w:val="18"/>
                <w:szCs w:val="18"/>
                <w:highlight w:val="none"/>
              </w:rPr>
              <w:t>总</w:t>
            </w:r>
            <w:r>
              <w:rPr>
                <w:rFonts w:cs="Times New Roman"/>
                <w:bCs/>
                <w:color w:val="auto"/>
                <w:sz w:val="18"/>
                <w:szCs w:val="18"/>
                <w:highlight w:val="none"/>
              </w:rPr>
              <w:t>治理度</w:t>
            </w:r>
          </w:p>
        </w:tc>
        <w:tc>
          <w:tcPr>
            <w:tcW w:w="2013" w:type="dxa"/>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lang w:eastAsia="zh-CN"/>
              </w:rPr>
              <w:t>99.63</w:t>
            </w:r>
            <w:r>
              <w:rPr>
                <w:rFonts w:hint="eastAsia" w:cs="Times New Roman"/>
                <w:color w:val="auto"/>
                <w:kern w:val="0"/>
                <w:sz w:val="18"/>
                <w:szCs w:val="18"/>
                <w:highlight w:val="none"/>
              </w:rPr>
              <w:t xml:space="preserve">%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18" w:type="dxa"/>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3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土壤流失控制比</w:t>
            </w:r>
          </w:p>
        </w:tc>
        <w:tc>
          <w:tcPr>
            <w:tcW w:w="2692" w:type="dxa"/>
            <w:gridSpan w:val="2"/>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rPr>
              <w:t>1.0</w:t>
            </w:r>
          </w:p>
        </w:tc>
        <w:tc>
          <w:tcPr>
            <w:tcW w:w="921"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718"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土壤流失控制比</w:t>
            </w:r>
          </w:p>
        </w:tc>
        <w:tc>
          <w:tcPr>
            <w:tcW w:w="2013" w:type="dxa"/>
            <w:vAlign w:val="center"/>
          </w:tcPr>
          <w:p>
            <w:pPr>
              <w:widowControl/>
              <w:adjustRightInd w:val="0"/>
              <w:snapToGrid w:val="0"/>
              <w:spacing w:line="240" w:lineRule="auto"/>
              <w:ind w:firstLine="0" w:firstLineChars="0"/>
              <w:jc w:val="center"/>
              <w:rPr>
                <w:rFonts w:hint="eastAsia" w:eastAsia="仿宋" w:cs="Times New Roman"/>
                <w:color w:val="auto"/>
                <w:kern w:val="0"/>
                <w:sz w:val="18"/>
                <w:szCs w:val="18"/>
                <w:highlight w:val="none"/>
                <w:lang w:eastAsia="zh-CN"/>
              </w:rPr>
            </w:pPr>
            <w:r>
              <w:rPr>
                <w:rFonts w:hint="eastAsia" w:cs="Times New Roman"/>
                <w:color w:val="auto"/>
                <w:kern w:val="0"/>
                <w:sz w:val="18"/>
                <w:szCs w:val="18"/>
                <w:highlight w:val="none"/>
                <w:lang w:eastAsia="zh-CN"/>
              </w:rPr>
              <w:t>1.23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18" w:type="dxa"/>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3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hint="eastAsia" w:cs="Times New Roman"/>
                <w:bCs/>
                <w:color w:val="auto"/>
                <w:sz w:val="18"/>
                <w:szCs w:val="18"/>
                <w:highlight w:val="none"/>
              </w:rPr>
              <w:t>拦渣</w:t>
            </w:r>
            <w:r>
              <w:rPr>
                <w:rFonts w:cs="Times New Roman"/>
                <w:bCs/>
                <w:color w:val="auto"/>
                <w:sz w:val="18"/>
                <w:szCs w:val="18"/>
                <w:highlight w:val="none"/>
              </w:rPr>
              <w:t>率</w:t>
            </w:r>
          </w:p>
        </w:tc>
        <w:tc>
          <w:tcPr>
            <w:tcW w:w="2692" w:type="dxa"/>
            <w:gridSpan w:val="2"/>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rPr>
              <w:t>95%</w:t>
            </w:r>
          </w:p>
        </w:tc>
        <w:tc>
          <w:tcPr>
            <w:tcW w:w="921"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718"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hint="eastAsia" w:cs="Times New Roman"/>
                <w:bCs/>
                <w:color w:val="auto"/>
                <w:sz w:val="18"/>
                <w:szCs w:val="18"/>
                <w:highlight w:val="none"/>
              </w:rPr>
              <w:t>拦渣</w:t>
            </w:r>
            <w:r>
              <w:rPr>
                <w:rFonts w:cs="Times New Roman"/>
                <w:bCs/>
                <w:color w:val="auto"/>
                <w:sz w:val="18"/>
                <w:szCs w:val="18"/>
                <w:highlight w:val="none"/>
              </w:rPr>
              <w:t>率</w:t>
            </w:r>
          </w:p>
        </w:tc>
        <w:tc>
          <w:tcPr>
            <w:tcW w:w="2013" w:type="dxa"/>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lang w:eastAsia="zh-CN"/>
              </w:rPr>
              <w:t>99.84</w:t>
            </w:r>
            <w:r>
              <w:rPr>
                <w:rFonts w:hint="eastAsia" w:cs="Times New Roman"/>
                <w:color w:val="auto"/>
                <w:kern w:val="0"/>
                <w:sz w:val="18"/>
                <w:szCs w:val="18"/>
                <w:highlight w:val="none"/>
              </w:rPr>
              <w:t xml:space="preserve">%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618" w:type="dxa"/>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3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林草植被恢复率</w:t>
            </w:r>
          </w:p>
        </w:tc>
        <w:tc>
          <w:tcPr>
            <w:tcW w:w="2692" w:type="dxa"/>
            <w:gridSpan w:val="2"/>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cs="Times New Roman"/>
                <w:color w:val="auto"/>
                <w:kern w:val="0"/>
                <w:sz w:val="18"/>
                <w:szCs w:val="18"/>
                <w:highlight w:val="none"/>
              </w:rPr>
              <w:t>9</w:t>
            </w:r>
            <w:r>
              <w:rPr>
                <w:rFonts w:hint="eastAsia" w:cs="Times New Roman"/>
                <w:color w:val="auto"/>
                <w:kern w:val="0"/>
                <w:sz w:val="18"/>
                <w:szCs w:val="18"/>
                <w:highlight w:val="none"/>
              </w:rPr>
              <w:t>9</w:t>
            </w:r>
            <w:r>
              <w:rPr>
                <w:rFonts w:cs="Times New Roman"/>
                <w:color w:val="auto"/>
                <w:kern w:val="0"/>
                <w:sz w:val="18"/>
                <w:szCs w:val="18"/>
                <w:highlight w:val="none"/>
              </w:rPr>
              <w:t>%</w:t>
            </w:r>
          </w:p>
        </w:tc>
        <w:tc>
          <w:tcPr>
            <w:tcW w:w="921"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718"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林草植被恢复率</w:t>
            </w:r>
          </w:p>
        </w:tc>
        <w:tc>
          <w:tcPr>
            <w:tcW w:w="2013" w:type="dxa"/>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lang w:eastAsia="zh-CN"/>
              </w:rPr>
              <w:t>99.61</w:t>
            </w:r>
            <w:r>
              <w:rPr>
                <w:rFonts w:hint="eastAsia" w:cs="Times New Roman"/>
                <w:color w:val="auto"/>
                <w:kern w:val="0"/>
                <w:sz w:val="18"/>
                <w:szCs w:val="18"/>
                <w:highlight w:val="none"/>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18" w:type="dxa"/>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3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林草覆盖率</w:t>
            </w:r>
          </w:p>
        </w:tc>
        <w:tc>
          <w:tcPr>
            <w:tcW w:w="2692" w:type="dxa"/>
            <w:gridSpan w:val="2"/>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rPr>
              <w:t>7</w:t>
            </w:r>
            <w:r>
              <w:rPr>
                <w:rFonts w:cs="Times New Roman"/>
                <w:color w:val="auto"/>
                <w:kern w:val="0"/>
                <w:sz w:val="18"/>
                <w:szCs w:val="18"/>
                <w:highlight w:val="none"/>
              </w:rPr>
              <w:t>%</w:t>
            </w:r>
          </w:p>
        </w:tc>
        <w:tc>
          <w:tcPr>
            <w:tcW w:w="921"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718"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林草覆盖率</w:t>
            </w:r>
          </w:p>
        </w:tc>
        <w:tc>
          <w:tcPr>
            <w:tcW w:w="2013" w:type="dxa"/>
            <w:vAlign w:val="center"/>
          </w:tcPr>
          <w:p>
            <w:pPr>
              <w:widowControl/>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lang w:eastAsia="zh-CN"/>
              </w:rPr>
              <w:t>7.00</w:t>
            </w:r>
            <w:r>
              <w:rPr>
                <w:rFonts w:hint="eastAsia" w:cs="Times New Roman"/>
                <w:color w:val="auto"/>
                <w:kern w:val="0"/>
                <w:sz w:val="18"/>
                <w:szCs w:val="18"/>
                <w:highlight w:val="none"/>
              </w:rPr>
              <w:t xml:space="preserve">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9" w:hRule="atLeast"/>
          <w:jc w:val="center"/>
        </w:trPr>
        <w:tc>
          <w:tcPr>
            <w:tcW w:w="1526" w:type="dxa"/>
            <w:gridSpan w:val="2"/>
            <w:vMerge w:val="restart"/>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完成的主要</w:t>
            </w:r>
          </w:p>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工程量</w:t>
            </w:r>
          </w:p>
        </w:tc>
        <w:tc>
          <w:tcPr>
            <w:tcW w:w="1295"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工程措施</w:t>
            </w:r>
          </w:p>
        </w:tc>
        <w:tc>
          <w:tcPr>
            <w:tcW w:w="6467" w:type="dxa"/>
            <w:gridSpan w:val="7"/>
            <w:vAlign w:val="center"/>
          </w:tcPr>
          <w:p>
            <w:pPr>
              <w:adjustRightInd w:val="0"/>
              <w:snapToGrid w:val="0"/>
              <w:spacing w:line="240" w:lineRule="auto"/>
              <w:ind w:firstLine="0" w:firstLineChars="0"/>
              <w:jc w:val="left"/>
              <w:rPr>
                <w:rFonts w:cs="Times New Roman"/>
                <w:color w:val="auto"/>
                <w:sz w:val="18"/>
                <w:szCs w:val="18"/>
                <w:highlight w:val="none"/>
              </w:rPr>
            </w:pPr>
            <w:r>
              <w:rPr>
                <w:rFonts w:hint="eastAsia" w:cs="Times New Roman"/>
                <w:color w:val="auto"/>
                <w:sz w:val="18"/>
                <w:szCs w:val="18"/>
                <w:highlight w:val="none"/>
                <w:lang w:eastAsia="zh-CN"/>
              </w:rPr>
              <w:t>建构筑物防治区</w:t>
            </w:r>
            <w:r>
              <w:rPr>
                <w:rFonts w:cs="Times New Roman"/>
                <w:color w:val="auto"/>
                <w:sz w:val="18"/>
                <w:szCs w:val="18"/>
                <w:highlight w:val="none"/>
              </w:rPr>
              <w:t>：</w:t>
            </w:r>
            <w:r>
              <w:rPr>
                <w:rFonts w:hint="eastAsia" w:cs="Times New Roman"/>
                <w:color w:val="auto"/>
                <w:sz w:val="18"/>
                <w:szCs w:val="18"/>
                <w:highlight w:val="none"/>
              </w:rPr>
              <w:t>表土剥离</w:t>
            </w:r>
            <w:r>
              <w:rPr>
                <w:rFonts w:hint="eastAsia" w:cs="Times New Roman"/>
                <w:color w:val="auto"/>
                <w:sz w:val="18"/>
                <w:szCs w:val="18"/>
                <w:highlight w:val="none"/>
                <w:lang w:val="en-US" w:eastAsia="zh-CN"/>
              </w:rPr>
              <w:t>900</w:t>
            </w:r>
            <w:r>
              <w:rPr>
                <w:rFonts w:hint="eastAsia" w:cs="Times New Roman"/>
                <w:color w:val="auto"/>
                <w:sz w:val="18"/>
                <w:szCs w:val="18"/>
                <w:highlight w:val="none"/>
              </w:rPr>
              <w:t>m³</w:t>
            </w:r>
            <w:r>
              <w:rPr>
                <w:rFonts w:cs="Times New Roman"/>
                <w:color w:val="auto"/>
                <w:sz w:val="18"/>
                <w:szCs w:val="18"/>
                <w:highlight w:val="none"/>
              </w:rPr>
              <w:t>；</w:t>
            </w:r>
          </w:p>
          <w:p>
            <w:pPr>
              <w:adjustRightInd w:val="0"/>
              <w:snapToGrid w:val="0"/>
              <w:spacing w:line="240" w:lineRule="auto"/>
              <w:ind w:firstLine="0" w:firstLineChars="0"/>
              <w:jc w:val="left"/>
              <w:rPr>
                <w:rFonts w:cs="Times New Roman"/>
                <w:color w:val="auto"/>
                <w:sz w:val="18"/>
                <w:szCs w:val="18"/>
                <w:highlight w:val="none"/>
              </w:rPr>
            </w:pPr>
            <w:r>
              <w:rPr>
                <w:rFonts w:hint="eastAsia" w:cs="Times New Roman"/>
                <w:color w:val="auto"/>
                <w:sz w:val="18"/>
                <w:szCs w:val="18"/>
                <w:highlight w:val="none"/>
                <w:lang w:eastAsia="zh-CN"/>
              </w:rPr>
              <w:t>道路及硬化工程防治区</w:t>
            </w:r>
            <w:r>
              <w:rPr>
                <w:rFonts w:cs="Times New Roman"/>
                <w:color w:val="auto"/>
                <w:sz w:val="18"/>
                <w:szCs w:val="18"/>
                <w:highlight w:val="none"/>
              </w:rPr>
              <w:t>：</w:t>
            </w:r>
            <w:r>
              <w:rPr>
                <w:rFonts w:hint="eastAsia" w:cs="Times New Roman"/>
                <w:color w:val="auto"/>
                <w:sz w:val="18"/>
                <w:szCs w:val="18"/>
                <w:highlight w:val="none"/>
              </w:rPr>
              <w:t>表土回覆</w:t>
            </w:r>
            <w:r>
              <w:rPr>
                <w:rFonts w:hint="eastAsia" w:cs="Times New Roman"/>
                <w:color w:val="auto"/>
                <w:sz w:val="18"/>
                <w:szCs w:val="18"/>
                <w:highlight w:val="none"/>
                <w:lang w:val="en-US" w:eastAsia="zh-CN"/>
              </w:rPr>
              <w:t>3</w:t>
            </w:r>
            <w:r>
              <w:rPr>
                <w:rFonts w:hint="eastAsia" w:cs="Times New Roman"/>
                <w:color w:val="auto"/>
                <w:sz w:val="18"/>
                <w:szCs w:val="18"/>
                <w:highlight w:val="none"/>
              </w:rPr>
              <w:t>00m³、排水沟</w:t>
            </w:r>
            <w:r>
              <w:rPr>
                <w:rFonts w:hint="eastAsia" w:cs="Times New Roman"/>
                <w:color w:val="auto"/>
                <w:sz w:val="18"/>
                <w:szCs w:val="18"/>
                <w:highlight w:val="none"/>
                <w:lang w:val="en-US" w:eastAsia="zh-CN"/>
              </w:rPr>
              <w:t>660</w:t>
            </w:r>
            <w:r>
              <w:rPr>
                <w:rFonts w:hint="eastAsia" w:cs="Times New Roman"/>
                <w:color w:val="auto"/>
                <w:sz w:val="18"/>
                <w:szCs w:val="18"/>
                <w:highlight w:val="none"/>
              </w:rPr>
              <w:t>m、</w:t>
            </w:r>
            <w:r>
              <w:rPr>
                <w:rFonts w:hint="eastAsia" w:cs="Times New Roman"/>
                <w:color w:val="auto"/>
                <w:sz w:val="18"/>
                <w:szCs w:val="18"/>
                <w:highlight w:val="none"/>
                <w:lang w:val="en-US" w:eastAsia="zh-CN"/>
              </w:rPr>
              <w:t>洗车槽1个</w:t>
            </w:r>
            <w:r>
              <w:rPr>
                <w:rFonts w:hint="eastAsia" w:cs="Times New Roman"/>
                <w:color w:val="auto"/>
                <w:sz w:val="18"/>
                <w:szCs w:val="18"/>
                <w:highlight w:val="none"/>
              </w:rPr>
              <w:t>；</w:t>
            </w:r>
          </w:p>
          <w:p>
            <w:pPr>
              <w:adjustRightInd w:val="0"/>
              <w:snapToGrid w:val="0"/>
              <w:spacing w:line="240" w:lineRule="auto"/>
              <w:ind w:firstLine="0" w:firstLineChars="0"/>
              <w:jc w:val="left"/>
              <w:rPr>
                <w:rFonts w:cs="Times New Roman"/>
                <w:color w:val="auto"/>
                <w:sz w:val="18"/>
                <w:szCs w:val="18"/>
                <w:highlight w:val="none"/>
              </w:rPr>
            </w:pPr>
            <w:r>
              <w:rPr>
                <w:rFonts w:hint="eastAsia" w:cs="Times New Roman"/>
                <w:color w:val="auto"/>
                <w:sz w:val="18"/>
                <w:szCs w:val="18"/>
                <w:highlight w:val="none"/>
                <w:lang w:eastAsia="zh-CN"/>
              </w:rPr>
              <w:t>绿化防治区</w:t>
            </w:r>
            <w:r>
              <w:rPr>
                <w:rFonts w:hint="eastAsia" w:cs="Times New Roman"/>
                <w:color w:val="auto"/>
                <w:sz w:val="18"/>
                <w:szCs w:val="18"/>
                <w:highlight w:val="none"/>
              </w:rPr>
              <w:t>：表土回覆</w:t>
            </w:r>
            <w:r>
              <w:rPr>
                <w:rFonts w:hint="eastAsia" w:cs="Times New Roman"/>
                <w:color w:val="auto"/>
                <w:sz w:val="18"/>
                <w:szCs w:val="18"/>
                <w:highlight w:val="none"/>
                <w:lang w:val="en-US" w:eastAsia="zh-CN"/>
              </w:rPr>
              <w:t>6</w:t>
            </w:r>
            <w:r>
              <w:rPr>
                <w:rFonts w:hint="eastAsia" w:cs="Times New Roman"/>
                <w:color w:val="auto"/>
                <w:sz w:val="18"/>
                <w:szCs w:val="18"/>
                <w:highlight w:val="none"/>
              </w:rPr>
              <w:t>00m³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295"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植物措施</w:t>
            </w:r>
          </w:p>
        </w:tc>
        <w:tc>
          <w:tcPr>
            <w:tcW w:w="6467" w:type="dxa"/>
            <w:gridSpan w:val="7"/>
            <w:vAlign w:val="center"/>
          </w:tcPr>
          <w:p>
            <w:pPr>
              <w:adjustRightInd w:val="0"/>
              <w:snapToGrid w:val="0"/>
              <w:spacing w:line="240" w:lineRule="auto"/>
              <w:ind w:firstLine="0" w:firstLineChars="0"/>
              <w:rPr>
                <w:rFonts w:cs="Times New Roman"/>
                <w:color w:val="auto"/>
                <w:sz w:val="18"/>
                <w:szCs w:val="18"/>
                <w:highlight w:val="none"/>
                <w:vertAlign w:val="superscript"/>
              </w:rPr>
            </w:pPr>
            <w:r>
              <w:rPr>
                <w:rFonts w:hint="eastAsia" w:cs="Times New Roman"/>
                <w:color w:val="auto"/>
                <w:sz w:val="18"/>
                <w:szCs w:val="18"/>
                <w:highlight w:val="none"/>
                <w:lang w:eastAsia="zh-CN"/>
              </w:rPr>
              <w:t>道路及硬化工程防治区</w:t>
            </w:r>
            <w:r>
              <w:rPr>
                <w:rFonts w:hint="eastAsia" w:cs="Times New Roman"/>
                <w:color w:val="auto"/>
                <w:sz w:val="18"/>
                <w:szCs w:val="18"/>
                <w:highlight w:val="none"/>
              </w:rPr>
              <w:t>：植草</w:t>
            </w:r>
            <w:r>
              <w:rPr>
                <w:rFonts w:hint="eastAsia" w:cs="Times New Roman"/>
                <w:color w:val="auto"/>
                <w:sz w:val="18"/>
                <w:szCs w:val="18"/>
                <w:highlight w:val="none"/>
                <w:lang w:val="en-US" w:eastAsia="zh-CN"/>
              </w:rPr>
              <w:t>砖1100</w:t>
            </w:r>
            <w:r>
              <w:rPr>
                <w:rFonts w:cs="Times New Roman"/>
                <w:color w:val="auto"/>
                <w:sz w:val="18"/>
                <w:szCs w:val="18"/>
                <w:highlight w:val="none"/>
              </w:rPr>
              <w:t>m</w:t>
            </w:r>
            <w:r>
              <w:rPr>
                <w:rFonts w:cs="Times New Roman"/>
                <w:color w:val="auto"/>
                <w:sz w:val="18"/>
                <w:szCs w:val="18"/>
                <w:highlight w:val="none"/>
                <w:vertAlign w:val="superscript"/>
              </w:rPr>
              <w:t>2</w:t>
            </w:r>
          </w:p>
          <w:p>
            <w:pPr>
              <w:adjustRightInd w:val="0"/>
              <w:snapToGrid w:val="0"/>
              <w:spacing w:line="240" w:lineRule="auto"/>
              <w:ind w:firstLine="0" w:firstLineChars="0"/>
              <w:rPr>
                <w:rFonts w:cs="Times New Roman"/>
                <w:color w:val="auto"/>
                <w:sz w:val="18"/>
                <w:szCs w:val="18"/>
                <w:highlight w:val="none"/>
                <w:vertAlign w:val="superscript"/>
              </w:rPr>
            </w:pPr>
            <w:r>
              <w:rPr>
                <w:rFonts w:hint="eastAsia" w:cs="Times New Roman"/>
                <w:color w:val="auto"/>
                <w:sz w:val="18"/>
                <w:szCs w:val="18"/>
                <w:highlight w:val="none"/>
                <w:lang w:eastAsia="zh-CN"/>
              </w:rPr>
              <w:t>绿化防治区</w:t>
            </w:r>
            <w:r>
              <w:rPr>
                <w:rFonts w:hint="eastAsia" w:cs="Times New Roman"/>
                <w:color w:val="auto"/>
                <w:sz w:val="18"/>
                <w:szCs w:val="18"/>
                <w:highlight w:val="none"/>
              </w:rPr>
              <w:t>：栽植乔木216株</w:t>
            </w:r>
            <w:r>
              <w:rPr>
                <w:rFonts w:hint="eastAsia" w:cs="Times New Roman"/>
                <w:color w:val="auto"/>
                <w:sz w:val="18"/>
                <w:szCs w:val="18"/>
                <w:highlight w:val="none"/>
                <w:lang w:eastAsia="zh-CN"/>
              </w:rPr>
              <w:t>、</w:t>
            </w:r>
            <w:r>
              <w:rPr>
                <w:rFonts w:hint="eastAsia" w:cs="Times New Roman"/>
                <w:color w:val="auto"/>
                <w:sz w:val="18"/>
                <w:szCs w:val="18"/>
                <w:highlight w:val="none"/>
              </w:rPr>
              <w:t>栽植灌木980株</w:t>
            </w:r>
            <w:r>
              <w:rPr>
                <w:rFonts w:hint="eastAsia" w:cs="Times New Roman"/>
                <w:color w:val="auto"/>
                <w:sz w:val="18"/>
                <w:szCs w:val="18"/>
                <w:highlight w:val="none"/>
                <w:lang w:eastAsia="zh-CN"/>
              </w:rPr>
              <w:t>、</w:t>
            </w:r>
            <w:r>
              <w:rPr>
                <w:rFonts w:hint="eastAsia" w:cs="Times New Roman"/>
                <w:color w:val="auto"/>
                <w:sz w:val="18"/>
                <w:szCs w:val="18"/>
                <w:highlight w:val="none"/>
              </w:rPr>
              <w:t>直播种草0.1hm</w:t>
            </w:r>
            <w:r>
              <w:rPr>
                <w:rFonts w:hint="eastAsia" w:cs="Times New Roman"/>
                <w:color w:val="auto"/>
                <w:sz w:val="18"/>
                <w:szCs w:val="18"/>
                <w:highlight w:val="none"/>
                <w:vertAlign w:val="superscript"/>
              </w:rPr>
              <w:t>2</w:t>
            </w:r>
            <w:r>
              <w:rPr>
                <w:rFonts w:hint="eastAsia" w:cs="Times New Roman"/>
                <w:color w:val="auto"/>
                <w:sz w:val="18"/>
                <w:szCs w:val="18"/>
                <w:highlight w:val="none"/>
              </w:rPr>
              <w:tab/>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526"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295"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临时措施</w:t>
            </w:r>
          </w:p>
        </w:tc>
        <w:tc>
          <w:tcPr>
            <w:tcW w:w="6467" w:type="dxa"/>
            <w:gridSpan w:val="7"/>
            <w:vAlign w:val="center"/>
          </w:tcPr>
          <w:p>
            <w:pPr>
              <w:adjustRightInd w:val="0"/>
              <w:snapToGrid w:val="0"/>
              <w:spacing w:line="240" w:lineRule="auto"/>
              <w:ind w:firstLine="0" w:firstLineChars="0"/>
              <w:rPr>
                <w:rFonts w:cs="Times New Roman"/>
                <w:color w:val="auto"/>
                <w:sz w:val="18"/>
                <w:szCs w:val="18"/>
                <w:highlight w:val="none"/>
              </w:rPr>
            </w:pPr>
            <w:r>
              <w:rPr>
                <w:rFonts w:hint="eastAsia" w:cs="Times New Roman"/>
                <w:color w:val="auto"/>
                <w:sz w:val="18"/>
                <w:szCs w:val="18"/>
                <w:highlight w:val="none"/>
                <w:lang w:eastAsia="zh-CN"/>
              </w:rPr>
              <w:t>建构筑物防治区</w:t>
            </w:r>
            <w:r>
              <w:rPr>
                <w:rFonts w:hint="eastAsia" w:cs="Times New Roman"/>
                <w:color w:val="auto"/>
                <w:sz w:val="18"/>
                <w:szCs w:val="18"/>
                <w:highlight w:val="none"/>
              </w:rPr>
              <w:t>：密目网</w:t>
            </w:r>
            <w:r>
              <w:rPr>
                <w:rFonts w:hint="eastAsia" w:cs="Times New Roman"/>
                <w:color w:val="auto"/>
                <w:sz w:val="18"/>
                <w:szCs w:val="18"/>
                <w:highlight w:val="none"/>
                <w:lang w:val="en-US" w:eastAsia="zh-CN"/>
              </w:rPr>
              <w:t>遮盖及拆除10000</w:t>
            </w:r>
            <w:r>
              <w:rPr>
                <w:rFonts w:hint="eastAsia" w:cs="Times New Roman"/>
                <w:color w:val="auto"/>
                <w:sz w:val="18"/>
                <w:szCs w:val="18"/>
                <w:highlight w:val="none"/>
              </w:rPr>
              <w:t>m</w:t>
            </w:r>
            <w:r>
              <w:rPr>
                <w:rFonts w:hint="eastAsia" w:cs="Times New Roman"/>
                <w:color w:val="auto"/>
                <w:sz w:val="18"/>
                <w:szCs w:val="18"/>
                <w:highlight w:val="none"/>
                <w:vertAlign w:val="superscript"/>
              </w:rPr>
              <w:t>2</w:t>
            </w:r>
            <w:r>
              <w:rPr>
                <w:rFonts w:hint="eastAsia" w:cs="Times New Roman"/>
                <w:color w:val="auto"/>
                <w:sz w:val="18"/>
                <w:szCs w:val="18"/>
                <w:highlight w:val="none"/>
              </w:rPr>
              <w:t>、临时排水沟</w:t>
            </w:r>
            <w:r>
              <w:rPr>
                <w:rFonts w:hint="eastAsia" w:cs="Times New Roman"/>
                <w:color w:val="auto"/>
                <w:sz w:val="18"/>
                <w:szCs w:val="18"/>
                <w:highlight w:val="none"/>
                <w:lang w:val="en-US" w:eastAsia="zh-CN"/>
              </w:rPr>
              <w:t>162</w:t>
            </w:r>
            <w:r>
              <w:rPr>
                <w:rFonts w:hint="eastAsia" w:cs="Times New Roman"/>
                <w:color w:val="auto"/>
                <w:sz w:val="18"/>
                <w:szCs w:val="18"/>
                <w:highlight w:val="none"/>
              </w:rPr>
              <w:t>m³；</w:t>
            </w:r>
          </w:p>
          <w:p>
            <w:pPr>
              <w:adjustRightInd w:val="0"/>
              <w:snapToGrid w:val="0"/>
              <w:spacing w:line="240" w:lineRule="auto"/>
              <w:ind w:firstLine="0" w:firstLineChars="0"/>
              <w:rPr>
                <w:rFonts w:hint="default" w:eastAsia="仿宋" w:cs="Times New Roman"/>
                <w:color w:val="auto"/>
                <w:sz w:val="18"/>
                <w:szCs w:val="18"/>
                <w:highlight w:val="none"/>
                <w:lang w:val="en-US" w:eastAsia="zh-CN"/>
              </w:rPr>
            </w:pPr>
            <w:r>
              <w:rPr>
                <w:rFonts w:hint="eastAsia" w:cs="Times New Roman"/>
                <w:color w:val="auto"/>
                <w:sz w:val="18"/>
                <w:szCs w:val="18"/>
                <w:highlight w:val="none"/>
                <w:lang w:eastAsia="zh-CN"/>
              </w:rPr>
              <w:t>道路及硬化工程防治区</w:t>
            </w:r>
            <w:r>
              <w:rPr>
                <w:rFonts w:hint="eastAsia" w:cs="Times New Roman"/>
                <w:color w:val="auto"/>
                <w:sz w:val="18"/>
                <w:szCs w:val="18"/>
                <w:highlight w:val="none"/>
              </w:rPr>
              <w:t>：密目网</w:t>
            </w:r>
            <w:r>
              <w:rPr>
                <w:rFonts w:hint="eastAsia" w:cs="Times New Roman"/>
                <w:color w:val="auto"/>
                <w:sz w:val="18"/>
                <w:szCs w:val="18"/>
                <w:highlight w:val="none"/>
                <w:lang w:val="en-US" w:eastAsia="zh-CN"/>
              </w:rPr>
              <w:t>遮盖及拆除10000</w:t>
            </w:r>
            <w:r>
              <w:rPr>
                <w:rFonts w:hint="eastAsia" w:cs="Times New Roman"/>
                <w:color w:val="auto"/>
                <w:sz w:val="18"/>
                <w:szCs w:val="18"/>
                <w:highlight w:val="none"/>
              </w:rPr>
              <w:t>m</w:t>
            </w:r>
            <w:r>
              <w:rPr>
                <w:rFonts w:hint="eastAsia" w:cs="Times New Roman"/>
                <w:color w:val="auto"/>
                <w:sz w:val="18"/>
                <w:szCs w:val="18"/>
                <w:highlight w:val="none"/>
                <w:vertAlign w:val="superscript"/>
              </w:rPr>
              <w:t>2</w:t>
            </w:r>
            <w:r>
              <w:rPr>
                <w:rFonts w:hint="eastAsia" w:cs="Times New Roman"/>
                <w:color w:val="auto"/>
                <w:sz w:val="18"/>
                <w:szCs w:val="18"/>
                <w:highlight w:val="none"/>
              </w:rPr>
              <w:t>、临时排水沟</w:t>
            </w:r>
            <w:r>
              <w:rPr>
                <w:rFonts w:hint="eastAsia" w:cs="Times New Roman"/>
                <w:color w:val="auto"/>
                <w:sz w:val="18"/>
                <w:szCs w:val="18"/>
                <w:highlight w:val="none"/>
                <w:lang w:val="en-US" w:eastAsia="zh-CN"/>
              </w:rPr>
              <w:t>21.8</w:t>
            </w:r>
            <w:r>
              <w:rPr>
                <w:rFonts w:hint="eastAsia" w:cs="Times New Roman"/>
                <w:color w:val="auto"/>
                <w:sz w:val="18"/>
                <w:szCs w:val="18"/>
                <w:highlight w:val="none"/>
              </w:rPr>
              <w:t>m³</w:t>
            </w:r>
            <w:r>
              <w:rPr>
                <w:rFonts w:hint="eastAsia" w:cs="Times New Roman"/>
                <w:color w:val="auto"/>
                <w:sz w:val="18"/>
                <w:szCs w:val="18"/>
                <w:highlight w:val="none"/>
                <w:lang w:eastAsia="zh-CN"/>
              </w:rPr>
              <w:t>、</w:t>
            </w:r>
            <w:r>
              <w:rPr>
                <w:rFonts w:hint="eastAsia" w:cs="Times New Roman"/>
                <w:color w:val="auto"/>
                <w:sz w:val="18"/>
                <w:szCs w:val="18"/>
                <w:highlight w:val="none"/>
                <w:lang w:val="en-US" w:eastAsia="zh-CN"/>
              </w:rPr>
              <w:t>沉砂池1.72</w:t>
            </w:r>
            <w:r>
              <w:rPr>
                <w:rFonts w:hint="eastAsia" w:cs="Times New Roman"/>
                <w:color w:val="auto"/>
                <w:sz w:val="18"/>
                <w:szCs w:val="18"/>
                <w:highlight w:val="none"/>
              </w:rPr>
              <w:t>m³</w:t>
            </w:r>
            <w:r>
              <w:rPr>
                <w:rFonts w:hint="eastAsia" w:cs="Times New Roman"/>
                <w:color w:val="auto"/>
                <w:sz w:val="18"/>
                <w:szCs w:val="18"/>
                <w:highlight w:val="none"/>
                <w:lang w:val="en-US" w:eastAsia="zh-CN"/>
              </w:rPr>
              <w:t>、土袋挡墙及拆除51.2</w:t>
            </w:r>
            <w:r>
              <w:rPr>
                <w:rFonts w:hint="eastAsia" w:cs="Times New Roman"/>
                <w:color w:val="auto"/>
                <w:sz w:val="18"/>
                <w:szCs w:val="18"/>
                <w:highlight w:val="none"/>
              </w:rPr>
              <w:t>m³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Merge w:val="restart"/>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工程质量评定</w:t>
            </w:r>
          </w:p>
        </w:tc>
        <w:tc>
          <w:tcPr>
            <w:tcW w:w="1295"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评定项目</w:t>
            </w:r>
          </w:p>
        </w:tc>
        <w:tc>
          <w:tcPr>
            <w:tcW w:w="3232" w:type="dxa"/>
            <w:gridSpan w:val="4"/>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总体质量评定</w:t>
            </w:r>
          </w:p>
        </w:tc>
        <w:tc>
          <w:tcPr>
            <w:tcW w:w="3235" w:type="dxa"/>
            <w:gridSpan w:val="3"/>
            <w:vAlign w:val="center"/>
          </w:tcPr>
          <w:p>
            <w:pPr>
              <w:adjustRightInd w:val="0"/>
              <w:snapToGrid w:val="0"/>
              <w:spacing w:line="240" w:lineRule="auto"/>
              <w:ind w:firstLine="0" w:firstLineChars="0"/>
              <w:jc w:val="center"/>
              <w:rPr>
                <w:rFonts w:cs="Times New Roman"/>
                <w:color w:val="auto"/>
                <w:sz w:val="18"/>
                <w:szCs w:val="18"/>
                <w:highlight w:val="none"/>
              </w:rPr>
            </w:pPr>
            <w:r>
              <w:rPr>
                <w:rFonts w:cs="Times New Roman"/>
                <w:color w:val="auto"/>
                <w:sz w:val="18"/>
                <w:szCs w:val="18"/>
                <w:highlight w:val="none"/>
              </w:rPr>
              <w:t>外观质量评定</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295"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工程措施</w:t>
            </w:r>
          </w:p>
        </w:tc>
        <w:tc>
          <w:tcPr>
            <w:tcW w:w="3232" w:type="dxa"/>
            <w:gridSpan w:val="4"/>
            <w:vAlign w:val="center"/>
          </w:tcPr>
          <w:p>
            <w:pPr>
              <w:adjustRightInd w:val="0"/>
              <w:snapToGrid w:val="0"/>
              <w:spacing w:line="240" w:lineRule="auto"/>
              <w:ind w:firstLine="0" w:firstLineChars="0"/>
              <w:jc w:val="center"/>
              <w:rPr>
                <w:rFonts w:cs="Times New Roman"/>
                <w:color w:val="auto"/>
                <w:sz w:val="18"/>
                <w:szCs w:val="18"/>
                <w:highlight w:val="none"/>
              </w:rPr>
            </w:pPr>
            <w:r>
              <w:rPr>
                <w:rFonts w:cs="Times New Roman"/>
                <w:color w:val="auto"/>
                <w:sz w:val="18"/>
                <w:szCs w:val="18"/>
                <w:highlight w:val="none"/>
              </w:rPr>
              <w:t>合格</w:t>
            </w:r>
          </w:p>
        </w:tc>
        <w:tc>
          <w:tcPr>
            <w:tcW w:w="3235" w:type="dxa"/>
            <w:gridSpan w:val="3"/>
            <w:vAlign w:val="center"/>
          </w:tcPr>
          <w:p>
            <w:pPr>
              <w:adjustRightInd w:val="0"/>
              <w:snapToGrid w:val="0"/>
              <w:spacing w:line="240" w:lineRule="auto"/>
              <w:ind w:firstLine="0" w:firstLineChars="0"/>
              <w:jc w:val="center"/>
              <w:rPr>
                <w:rFonts w:cs="Times New Roman"/>
                <w:color w:val="auto"/>
                <w:sz w:val="18"/>
                <w:szCs w:val="18"/>
                <w:highlight w:val="none"/>
              </w:rPr>
            </w:pPr>
            <w:r>
              <w:rPr>
                <w:rFonts w:cs="Times New Roman"/>
                <w:color w:val="auto"/>
                <w:sz w:val="18"/>
                <w:szCs w:val="18"/>
                <w:highlight w:val="none"/>
              </w:rPr>
              <w:t>合格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1295"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植物措施</w:t>
            </w:r>
          </w:p>
        </w:tc>
        <w:tc>
          <w:tcPr>
            <w:tcW w:w="3232" w:type="dxa"/>
            <w:gridSpan w:val="4"/>
            <w:vAlign w:val="center"/>
          </w:tcPr>
          <w:p>
            <w:pPr>
              <w:adjustRightInd w:val="0"/>
              <w:snapToGrid w:val="0"/>
              <w:spacing w:line="240" w:lineRule="auto"/>
              <w:ind w:firstLine="0" w:firstLineChars="0"/>
              <w:jc w:val="center"/>
              <w:rPr>
                <w:rFonts w:cs="Times New Roman"/>
                <w:color w:val="auto"/>
                <w:sz w:val="18"/>
                <w:szCs w:val="18"/>
                <w:highlight w:val="none"/>
              </w:rPr>
            </w:pPr>
            <w:r>
              <w:rPr>
                <w:rFonts w:cs="Times New Roman"/>
                <w:color w:val="auto"/>
                <w:sz w:val="18"/>
                <w:szCs w:val="18"/>
                <w:highlight w:val="none"/>
              </w:rPr>
              <w:t>合格</w:t>
            </w:r>
          </w:p>
        </w:tc>
        <w:tc>
          <w:tcPr>
            <w:tcW w:w="3235" w:type="dxa"/>
            <w:gridSpan w:val="3"/>
            <w:vAlign w:val="center"/>
          </w:tcPr>
          <w:p>
            <w:pPr>
              <w:adjustRightInd w:val="0"/>
              <w:snapToGrid w:val="0"/>
              <w:spacing w:line="240" w:lineRule="auto"/>
              <w:ind w:firstLine="0" w:firstLineChars="0"/>
              <w:jc w:val="center"/>
              <w:rPr>
                <w:rFonts w:cs="Times New Roman"/>
                <w:color w:val="auto"/>
                <w:sz w:val="18"/>
                <w:szCs w:val="18"/>
                <w:highlight w:val="none"/>
              </w:rPr>
            </w:pPr>
            <w:r>
              <w:rPr>
                <w:rFonts w:cs="Times New Roman"/>
                <w:color w:val="auto"/>
                <w:sz w:val="18"/>
                <w:szCs w:val="18"/>
                <w:highlight w:val="none"/>
              </w:rPr>
              <w:t>合格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Merge w:val="restart"/>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投资</w:t>
            </w:r>
          </w:p>
        </w:tc>
        <w:tc>
          <w:tcPr>
            <w:tcW w:w="3110"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水土保持方案投资（万元）</w:t>
            </w:r>
          </w:p>
        </w:tc>
        <w:tc>
          <w:tcPr>
            <w:tcW w:w="4652" w:type="dxa"/>
            <w:gridSpan w:val="6"/>
            <w:vAlign w:val="center"/>
          </w:tcPr>
          <w:p>
            <w:pPr>
              <w:adjustRightInd w:val="0"/>
              <w:snapToGrid w:val="0"/>
              <w:spacing w:line="240" w:lineRule="auto"/>
              <w:ind w:firstLine="0" w:firstLineChars="0"/>
              <w:jc w:val="center"/>
              <w:rPr>
                <w:rFonts w:cs="Times New Roman"/>
                <w:color w:val="auto"/>
                <w:sz w:val="18"/>
                <w:szCs w:val="18"/>
                <w:highlight w:val="none"/>
              </w:rPr>
            </w:pPr>
            <w:r>
              <w:rPr>
                <w:rFonts w:hint="eastAsia" w:cs="Times New Roman"/>
                <w:color w:val="auto"/>
                <w:sz w:val="18"/>
                <w:szCs w:val="18"/>
                <w:highlight w:val="none"/>
                <w:lang w:eastAsia="zh-CN"/>
              </w:rPr>
              <w:t>93.18</w:t>
            </w:r>
            <w:r>
              <w:rPr>
                <w:rFonts w:hint="eastAsia" w:cs="Times New Roman"/>
                <w:color w:val="auto"/>
                <w:sz w:val="18"/>
                <w:szCs w:val="18"/>
                <w:highlight w:val="none"/>
              </w:rPr>
              <w:t xml:space="preserve">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3110"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实际</w:t>
            </w:r>
            <w:r>
              <w:rPr>
                <w:rFonts w:hint="eastAsia" w:cs="Times New Roman"/>
                <w:bCs/>
                <w:color w:val="auto"/>
                <w:sz w:val="18"/>
                <w:szCs w:val="18"/>
                <w:highlight w:val="none"/>
              </w:rPr>
              <w:t>完成</w:t>
            </w:r>
            <w:r>
              <w:rPr>
                <w:rFonts w:cs="Times New Roman"/>
                <w:bCs/>
                <w:color w:val="auto"/>
                <w:sz w:val="18"/>
                <w:szCs w:val="18"/>
                <w:highlight w:val="none"/>
              </w:rPr>
              <w:t>投资（万元）</w:t>
            </w:r>
          </w:p>
        </w:tc>
        <w:tc>
          <w:tcPr>
            <w:tcW w:w="4652" w:type="dxa"/>
            <w:gridSpan w:val="6"/>
            <w:vAlign w:val="center"/>
          </w:tcPr>
          <w:p>
            <w:pPr>
              <w:adjustRightInd w:val="0"/>
              <w:snapToGrid w:val="0"/>
              <w:spacing w:line="240" w:lineRule="auto"/>
              <w:ind w:firstLine="0" w:firstLineChars="0"/>
              <w:jc w:val="center"/>
              <w:rPr>
                <w:rFonts w:hint="eastAsia" w:eastAsia="仿宋" w:cs="Times New Roman"/>
                <w:color w:val="auto"/>
                <w:sz w:val="18"/>
                <w:szCs w:val="18"/>
                <w:highlight w:val="none"/>
                <w:lang w:eastAsia="zh-CN"/>
              </w:rPr>
            </w:pPr>
            <w:r>
              <w:rPr>
                <w:rFonts w:hint="eastAsia" w:cs="Times New Roman"/>
                <w:color w:val="auto"/>
                <w:sz w:val="18"/>
                <w:szCs w:val="18"/>
                <w:highlight w:val="none"/>
                <w:lang w:eastAsia="zh-CN"/>
              </w:rPr>
              <w:t>94.83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3110"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投资变化主要原因</w:t>
            </w:r>
          </w:p>
        </w:tc>
        <w:tc>
          <w:tcPr>
            <w:tcW w:w="4652" w:type="dxa"/>
            <w:gridSpan w:val="6"/>
            <w:vAlign w:val="center"/>
          </w:tcPr>
          <w:p>
            <w:pPr>
              <w:adjustRightInd w:val="0"/>
              <w:snapToGrid w:val="0"/>
              <w:spacing w:line="240" w:lineRule="auto"/>
              <w:ind w:firstLine="0" w:firstLineChars="0"/>
              <w:jc w:val="center"/>
              <w:rPr>
                <w:rFonts w:cs="Times New Roman"/>
                <w:color w:val="auto"/>
                <w:kern w:val="0"/>
                <w:sz w:val="18"/>
                <w:szCs w:val="18"/>
                <w:highlight w:val="none"/>
              </w:rPr>
            </w:pPr>
            <w:r>
              <w:rPr>
                <w:rFonts w:hint="eastAsia" w:cs="Times New Roman"/>
                <w:color w:val="auto"/>
                <w:kern w:val="0"/>
                <w:sz w:val="18"/>
                <w:szCs w:val="18"/>
                <w:highlight w:val="none"/>
              </w:rPr>
              <w:t>①工程措施根据实际增加了工程量，导致该部分投资增加；②植物措施</w:t>
            </w:r>
            <w:r>
              <w:rPr>
                <w:rFonts w:hint="eastAsia" w:cs="Times New Roman"/>
                <w:color w:val="auto"/>
                <w:kern w:val="0"/>
                <w:sz w:val="18"/>
                <w:szCs w:val="18"/>
                <w:highlight w:val="none"/>
                <w:lang w:val="en-US" w:eastAsia="zh-CN"/>
              </w:rPr>
              <w:t>工程量据实调整</w:t>
            </w:r>
            <w:r>
              <w:rPr>
                <w:rFonts w:hint="eastAsia" w:cs="Times New Roman"/>
                <w:color w:val="auto"/>
                <w:kern w:val="0"/>
                <w:sz w:val="18"/>
                <w:szCs w:val="18"/>
                <w:highlight w:val="none"/>
              </w:rPr>
              <w:t>，投资增加；③监测措施及独立费用据实计算，较方案减少。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工程总体评价</w:t>
            </w:r>
          </w:p>
        </w:tc>
        <w:tc>
          <w:tcPr>
            <w:tcW w:w="7762" w:type="dxa"/>
            <w:gridSpan w:val="9"/>
            <w:vAlign w:val="center"/>
          </w:tcPr>
          <w:p>
            <w:pPr>
              <w:adjustRightInd w:val="0"/>
              <w:snapToGrid w:val="0"/>
              <w:spacing w:line="240" w:lineRule="auto"/>
              <w:ind w:firstLine="0" w:firstLineChars="0"/>
              <w:jc w:val="left"/>
              <w:rPr>
                <w:rFonts w:cs="Times New Roman"/>
                <w:color w:val="auto"/>
                <w:sz w:val="18"/>
                <w:szCs w:val="18"/>
                <w:highlight w:val="none"/>
              </w:rPr>
            </w:pPr>
            <w:r>
              <w:rPr>
                <w:rFonts w:cs="Times New Roman"/>
                <w:color w:val="auto"/>
                <w:sz w:val="18"/>
                <w:szCs w:val="18"/>
                <w:highlight w:val="none"/>
              </w:rPr>
              <w:t>总体完成了水土保持相关内容和生产建设项目所要求的水土流失防治任务，完成的各项水土保持工程质量总体合格，水土保持设施达到了水土保持法律、法规及技术规范规定的验收条件，可以组织竣工验收和投入使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tcMar>
              <w:left w:w="0" w:type="dxa"/>
              <w:right w:w="0" w:type="dxa"/>
            </w:tcMar>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方案编制单位</w:t>
            </w:r>
          </w:p>
        </w:tc>
        <w:tc>
          <w:tcPr>
            <w:tcW w:w="3177" w:type="dxa"/>
            <w:gridSpan w:val="4"/>
            <w:tcMar>
              <w:left w:w="0" w:type="dxa"/>
              <w:right w:w="0" w:type="dxa"/>
            </w:tcMar>
            <w:vAlign w:val="center"/>
          </w:tcPr>
          <w:p>
            <w:pPr>
              <w:adjustRightInd w:val="0"/>
              <w:snapToGrid w:val="0"/>
              <w:spacing w:line="240" w:lineRule="auto"/>
              <w:ind w:firstLine="0" w:firstLineChars="0"/>
              <w:jc w:val="center"/>
              <w:rPr>
                <w:rFonts w:hint="eastAsia" w:eastAsia="仿宋" w:cs="Times New Roman"/>
                <w:color w:val="auto"/>
                <w:sz w:val="18"/>
                <w:szCs w:val="18"/>
                <w:highlight w:val="none"/>
                <w:lang w:eastAsia="zh-CN"/>
              </w:rPr>
            </w:pPr>
            <w:r>
              <w:rPr>
                <w:rFonts w:hint="eastAsia" w:cs="Times New Roman"/>
                <w:color w:val="auto"/>
                <w:sz w:val="18"/>
                <w:szCs w:val="18"/>
                <w:highlight w:val="none"/>
                <w:lang w:eastAsia="zh-CN"/>
              </w:rPr>
              <w:t>四川国泰民安科技有限公司</w:t>
            </w:r>
          </w:p>
        </w:tc>
        <w:tc>
          <w:tcPr>
            <w:tcW w:w="1350" w:type="dxa"/>
            <w:gridSpan w:val="2"/>
            <w:vMerge w:val="restart"/>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施工单位</w:t>
            </w:r>
          </w:p>
        </w:tc>
        <w:tc>
          <w:tcPr>
            <w:tcW w:w="3235" w:type="dxa"/>
            <w:gridSpan w:val="3"/>
            <w:vMerge w:val="restart"/>
            <w:tcMar>
              <w:left w:w="0" w:type="dxa"/>
              <w:right w:w="0" w:type="dxa"/>
            </w:tcMar>
            <w:vAlign w:val="center"/>
          </w:tcPr>
          <w:p>
            <w:pPr>
              <w:adjustRightInd w:val="0"/>
              <w:snapToGrid w:val="0"/>
              <w:spacing w:line="240" w:lineRule="auto"/>
              <w:ind w:firstLine="0" w:firstLineChars="0"/>
              <w:jc w:val="center"/>
              <w:rPr>
                <w:rFonts w:hint="eastAsia" w:eastAsia="仿宋" w:cs="Times New Roman"/>
                <w:color w:val="auto"/>
                <w:sz w:val="18"/>
                <w:highlight w:val="none"/>
                <w:lang w:eastAsia="zh-CN"/>
              </w:rPr>
            </w:pPr>
            <w:r>
              <w:rPr>
                <w:rFonts w:hint="eastAsia" w:cs="Times New Roman"/>
                <w:color w:val="auto"/>
                <w:sz w:val="18"/>
                <w:highlight w:val="none"/>
                <w:lang w:eastAsia="zh-CN"/>
              </w:rPr>
              <w:t>四川省广汉市第十一建筑工程有限公司</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tcMar>
              <w:left w:w="0" w:type="dxa"/>
              <w:right w:w="0" w:type="dxa"/>
            </w:tcMar>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主体工程</w:t>
            </w:r>
          </w:p>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设计单位</w:t>
            </w:r>
          </w:p>
        </w:tc>
        <w:tc>
          <w:tcPr>
            <w:tcW w:w="3177" w:type="dxa"/>
            <w:gridSpan w:val="4"/>
            <w:tcMar>
              <w:left w:w="0" w:type="dxa"/>
              <w:right w:w="0" w:type="dxa"/>
            </w:tcMar>
            <w:vAlign w:val="center"/>
          </w:tcPr>
          <w:p>
            <w:pPr>
              <w:adjustRightInd w:val="0"/>
              <w:snapToGrid w:val="0"/>
              <w:spacing w:line="240" w:lineRule="auto"/>
              <w:ind w:firstLine="0" w:firstLineChars="0"/>
              <w:jc w:val="center"/>
              <w:rPr>
                <w:rFonts w:hint="eastAsia" w:eastAsia="仿宋" w:cs="Times New Roman"/>
                <w:color w:val="auto"/>
                <w:sz w:val="18"/>
                <w:szCs w:val="18"/>
                <w:highlight w:val="none"/>
                <w:lang w:eastAsia="zh-CN"/>
              </w:rPr>
            </w:pPr>
            <w:r>
              <w:rPr>
                <w:rFonts w:hint="eastAsia" w:cs="Times New Roman"/>
                <w:color w:val="auto"/>
                <w:sz w:val="18"/>
                <w:szCs w:val="18"/>
                <w:highlight w:val="none"/>
                <w:lang w:eastAsia="zh-CN"/>
              </w:rPr>
              <w:t>四川国鼎建筑设计有限公司</w:t>
            </w:r>
          </w:p>
        </w:tc>
        <w:tc>
          <w:tcPr>
            <w:tcW w:w="1350" w:type="dxa"/>
            <w:gridSpan w:val="2"/>
            <w:vMerge w:val="continue"/>
            <w:vAlign w:val="center"/>
          </w:tcPr>
          <w:p>
            <w:pPr>
              <w:adjustRightInd w:val="0"/>
              <w:snapToGrid w:val="0"/>
              <w:spacing w:line="240" w:lineRule="auto"/>
              <w:ind w:firstLine="0" w:firstLineChars="0"/>
              <w:jc w:val="center"/>
              <w:rPr>
                <w:rFonts w:cs="Times New Roman"/>
                <w:bCs/>
                <w:color w:val="auto"/>
                <w:sz w:val="18"/>
                <w:szCs w:val="18"/>
                <w:highlight w:val="none"/>
              </w:rPr>
            </w:pPr>
          </w:p>
        </w:tc>
        <w:tc>
          <w:tcPr>
            <w:tcW w:w="3235" w:type="dxa"/>
            <w:gridSpan w:val="3"/>
            <w:vMerge w:val="continue"/>
            <w:tcMar>
              <w:left w:w="0" w:type="dxa"/>
              <w:right w:w="0" w:type="dxa"/>
            </w:tcMar>
            <w:vAlign w:val="center"/>
          </w:tcPr>
          <w:p>
            <w:pPr>
              <w:adjustRightInd w:val="0"/>
              <w:snapToGrid w:val="0"/>
              <w:spacing w:line="240" w:lineRule="auto"/>
              <w:ind w:firstLine="0" w:firstLineChars="0"/>
              <w:jc w:val="center"/>
              <w:rPr>
                <w:rFonts w:cs="Times New Roman"/>
                <w:color w:val="auto"/>
                <w:sz w:val="18"/>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水土保持</w:t>
            </w:r>
          </w:p>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监测单位</w:t>
            </w:r>
          </w:p>
        </w:tc>
        <w:tc>
          <w:tcPr>
            <w:tcW w:w="3177" w:type="dxa"/>
            <w:gridSpan w:val="4"/>
            <w:tcMar>
              <w:left w:w="0" w:type="dxa"/>
              <w:right w:w="0" w:type="dxa"/>
            </w:tcMar>
            <w:vAlign w:val="center"/>
          </w:tcPr>
          <w:p>
            <w:pPr>
              <w:adjustRightInd w:val="0"/>
              <w:snapToGrid w:val="0"/>
              <w:spacing w:line="240" w:lineRule="auto"/>
              <w:ind w:firstLine="0" w:firstLineChars="0"/>
              <w:jc w:val="center"/>
              <w:rPr>
                <w:rFonts w:cs="Times New Roman"/>
                <w:color w:val="auto"/>
                <w:sz w:val="18"/>
                <w:szCs w:val="18"/>
                <w:highlight w:val="none"/>
              </w:rPr>
            </w:pPr>
            <w:r>
              <w:rPr>
                <w:rFonts w:cs="Times New Roman"/>
                <w:color w:val="auto"/>
                <w:sz w:val="18"/>
                <w:szCs w:val="18"/>
                <w:highlight w:val="none"/>
              </w:rPr>
              <w:t>四川景溪工程设计咨询有限公司</w:t>
            </w:r>
          </w:p>
        </w:tc>
        <w:tc>
          <w:tcPr>
            <w:tcW w:w="1350"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监理单位</w:t>
            </w:r>
          </w:p>
        </w:tc>
        <w:tc>
          <w:tcPr>
            <w:tcW w:w="3235" w:type="dxa"/>
            <w:gridSpan w:val="3"/>
            <w:tcMar>
              <w:left w:w="0" w:type="dxa"/>
              <w:right w:w="0" w:type="dxa"/>
            </w:tcMar>
            <w:vAlign w:val="center"/>
          </w:tcPr>
          <w:p>
            <w:pPr>
              <w:adjustRightInd w:val="0"/>
              <w:snapToGrid w:val="0"/>
              <w:spacing w:line="240" w:lineRule="auto"/>
              <w:ind w:firstLine="0" w:firstLineChars="0"/>
              <w:jc w:val="center"/>
              <w:rPr>
                <w:rFonts w:hint="eastAsia" w:eastAsia="仿宋" w:cs="Times New Roman"/>
                <w:color w:val="auto"/>
                <w:sz w:val="18"/>
                <w:highlight w:val="none"/>
                <w:lang w:eastAsia="zh-CN"/>
              </w:rPr>
            </w:pPr>
            <w:r>
              <w:rPr>
                <w:rFonts w:hint="eastAsia" w:cs="Times New Roman"/>
                <w:color w:val="auto"/>
                <w:sz w:val="18"/>
                <w:highlight w:val="none"/>
                <w:lang w:eastAsia="zh-CN"/>
              </w:rPr>
              <w:t>四川良友建设咨询有限公司</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水土保持设施验收报告编制单位</w:t>
            </w:r>
          </w:p>
        </w:tc>
        <w:tc>
          <w:tcPr>
            <w:tcW w:w="3177" w:type="dxa"/>
            <w:gridSpan w:val="4"/>
            <w:tcMar>
              <w:left w:w="0" w:type="dxa"/>
              <w:right w:w="0" w:type="dxa"/>
            </w:tcMar>
            <w:vAlign w:val="center"/>
          </w:tcPr>
          <w:p>
            <w:pPr>
              <w:adjustRightInd w:val="0"/>
              <w:snapToGrid w:val="0"/>
              <w:spacing w:line="240" w:lineRule="auto"/>
              <w:ind w:firstLine="0" w:firstLineChars="0"/>
              <w:jc w:val="center"/>
              <w:rPr>
                <w:rFonts w:cs="Times New Roman"/>
                <w:color w:val="auto"/>
                <w:sz w:val="18"/>
                <w:szCs w:val="18"/>
                <w:highlight w:val="none"/>
              </w:rPr>
            </w:pPr>
            <w:r>
              <w:rPr>
                <w:rFonts w:hint="eastAsia" w:cs="Times New Roman"/>
                <w:color w:val="auto"/>
                <w:sz w:val="18"/>
                <w:highlight w:val="none"/>
              </w:rPr>
              <w:t>四川兴景水利工程设计有限公司</w:t>
            </w:r>
          </w:p>
        </w:tc>
        <w:tc>
          <w:tcPr>
            <w:tcW w:w="1350"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建设单位</w:t>
            </w:r>
          </w:p>
        </w:tc>
        <w:tc>
          <w:tcPr>
            <w:tcW w:w="3235" w:type="dxa"/>
            <w:gridSpan w:val="3"/>
            <w:tcMar>
              <w:left w:w="0" w:type="dxa"/>
              <w:right w:w="0" w:type="dxa"/>
            </w:tcMar>
            <w:vAlign w:val="center"/>
          </w:tcPr>
          <w:p>
            <w:pPr>
              <w:adjustRightInd w:val="0"/>
              <w:snapToGrid w:val="0"/>
              <w:spacing w:line="240" w:lineRule="auto"/>
              <w:ind w:firstLine="0" w:firstLineChars="0"/>
              <w:jc w:val="center"/>
              <w:rPr>
                <w:rFonts w:hint="eastAsia" w:eastAsia="仿宋" w:cs="Times New Roman"/>
                <w:color w:val="auto"/>
                <w:sz w:val="18"/>
                <w:szCs w:val="18"/>
                <w:highlight w:val="none"/>
                <w:lang w:eastAsia="zh-CN"/>
              </w:rPr>
            </w:pPr>
            <w:r>
              <w:rPr>
                <w:rFonts w:hint="eastAsia" w:cs="Times New Roman"/>
                <w:color w:val="auto"/>
                <w:sz w:val="18"/>
                <w:highlight w:val="none"/>
                <w:lang w:eastAsia="zh-CN"/>
              </w:rPr>
              <w:t>成都润嘉汽车部件有限公司</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526"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地址</w:t>
            </w:r>
          </w:p>
        </w:tc>
        <w:tc>
          <w:tcPr>
            <w:tcW w:w="3177" w:type="dxa"/>
            <w:gridSpan w:val="4"/>
            <w:vAlign w:val="center"/>
          </w:tcPr>
          <w:p>
            <w:pPr>
              <w:pStyle w:val="14"/>
              <w:ind w:firstLine="360"/>
              <w:rPr>
                <w:rFonts w:cs="Times New Roman"/>
                <w:snapToGrid w:val="0"/>
                <w:color w:val="auto"/>
                <w:highlight w:val="none"/>
              </w:rPr>
            </w:pPr>
            <w:r>
              <w:rPr>
                <w:rFonts w:cs="Times New Roman"/>
                <w:snapToGrid w:val="0"/>
                <w:color w:val="auto"/>
                <w:highlight w:val="none"/>
              </w:rPr>
              <w:t>成都市府城大道399号</w:t>
            </w:r>
          </w:p>
        </w:tc>
        <w:tc>
          <w:tcPr>
            <w:tcW w:w="1350"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地址</w:t>
            </w:r>
          </w:p>
        </w:tc>
        <w:tc>
          <w:tcPr>
            <w:tcW w:w="3235" w:type="dxa"/>
            <w:gridSpan w:val="3"/>
            <w:tcMar>
              <w:left w:w="0" w:type="dxa"/>
              <w:right w:w="0" w:type="dxa"/>
            </w:tcMar>
            <w:vAlign w:val="center"/>
          </w:tcPr>
          <w:p>
            <w:pPr>
              <w:adjustRightInd w:val="0"/>
              <w:snapToGrid w:val="0"/>
              <w:spacing w:line="240" w:lineRule="auto"/>
              <w:ind w:firstLine="0" w:firstLineChars="0"/>
              <w:jc w:val="center"/>
              <w:rPr>
                <w:rFonts w:hint="default" w:eastAsia="仿宋" w:cs="Times New Roman"/>
                <w:color w:val="auto"/>
                <w:sz w:val="18"/>
                <w:szCs w:val="18"/>
                <w:highlight w:val="none"/>
                <w:lang w:val="en-US" w:eastAsia="zh-CN"/>
              </w:rPr>
            </w:pPr>
            <w:r>
              <w:rPr>
                <w:rFonts w:hint="eastAsia" w:cs="Times New Roman"/>
                <w:color w:val="auto"/>
                <w:sz w:val="18"/>
                <w:szCs w:val="18"/>
                <w:highlight w:val="none"/>
                <w:lang w:val="en-US" w:eastAsia="zh-CN"/>
              </w:rPr>
              <w:t>成都天府新区新型工业园精工东一路2168号</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联系人及电话</w:t>
            </w:r>
          </w:p>
        </w:tc>
        <w:tc>
          <w:tcPr>
            <w:tcW w:w="2759" w:type="dxa"/>
            <w:gridSpan w:val="3"/>
            <w:vAlign w:val="center"/>
          </w:tcPr>
          <w:p>
            <w:pPr>
              <w:pStyle w:val="14"/>
              <w:ind w:firstLine="360"/>
              <w:rPr>
                <w:rFonts w:cs="Times New Roman"/>
                <w:snapToGrid w:val="0"/>
                <w:color w:val="auto"/>
                <w:highlight w:val="none"/>
              </w:rPr>
            </w:pPr>
            <w:r>
              <w:rPr>
                <w:rFonts w:hint="eastAsia" w:cs="Times New Roman"/>
                <w:snapToGrid w:val="0"/>
                <w:color w:val="auto"/>
                <w:highlight w:val="none"/>
                <w:lang w:val="en-US" w:eastAsia="zh-CN"/>
              </w:rPr>
              <w:t>李 通</w:t>
            </w:r>
            <w:r>
              <w:rPr>
                <w:rFonts w:cs="Times New Roman"/>
                <w:snapToGrid w:val="0"/>
                <w:color w:val="auto"/>
                <w:highlight w:val="none"/>
              </w:rPr>
              <w:t>/</w:t>
            </w:r>
            <w:r>
              <w:rPr>
                <w:rFonts w:hint="eastAsia" w:cs="Times New Roman"/>
                <w:snapToGrid w:val="0"/>
                <w:color w:val="auto"/>
                <w:highlight w:val="none"/>
              </w:rPr>
              <w:t>173 1120 6372</w:t>
            </w:r>
          </w:p>
        </w:tc>
        <w:tc>
          <w:tcPr>
            <w:tcW w:w="1350"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联系人及电话</w:t>
            </w:r>
          </w:p>
        </w:tc>
        <w:tc>
          <w:tcPr>
            <w:tcW w:w="3235" w:type="dxa"/>
            <w:gridSpan w:val="3"/>
            <w:tcMar>
              <w:left w:w="0" w:type="dxa"/>
              <w:right w:w="0" w:type="dxa"/>
            </w:tcMar>
            <w:vAlign w:val="center"/>
          </w:tcPr>
          <w:p>
            <w:pPr>
              <w:adjustRightInd w:val="0"/>
              <w:snapToGrid w:val="0"/>
              <w:spacing w:line="240" w:lineRule="auto"/>
              <w:ind w:firstLine="0" w:firstLineChars="0"/>
              <w:jc w:val="center"/>
              <w:rPr>
                <w:rFonts w:hint="default" w:eastAsia="仿宋" w:cs="Times New Roman"/>
                <w:color w:val="auto"/>
                <w:sz w:val="18"/>
                <w:highlight w:val="none"/>
                <w:lang w:val="en-US" w:eastAsia="zh-CN"/>
              </w:rPr>
            </w:pPr>
            <w:r>
              <w:rPr>
                <w:rFonts w:hint="eastAsia" w:cs="Times New Roman"/>
                <w:color w:val="auto"/>
                <w:sz w:val="18"/>
                <w:highlight w:val="none"/>
                <w:lang w:val="en-US" w:eastAsia="zh-CN"/>
              </w:rPr>
              <w:t>彭 思</w:t>
            </w:r>
            <w:r>
              <w:rPr>
                <w:rFonts w:hint="eastAsia" w:cs="Times New Roman"/>
                <w:color w:val="auto"/>
                <w:sz w:val="18"/>
                <w:highlight w:val="none"/>
              </w:rPr>
              <w:t>/</w:t>
            </w:r>
            <w:r>
              <w:rPr>
                <w:rFonts w:hint="eastAsia" w:cs="Times New Roman"/>
                <w:color w:val="auto"/>
                <w:sz w:val="18"/>
                <w:highlight w:val="none"/>
                <w:lang w:val="en-US" w:eastAsia="zh-CN"/>
              </w:rPr>
              <w:t>136 8802 9701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944" w:type="dxa"/>
            <w:gridSpan w:val="3"/>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电子邮箱</w:t>
            </w:r>
          </w:p>
        </w:tc>
        <w:tc>
          <w:tcPr>
            <w:tcW w:w="2759" w:type="dxa"/>
            <w:gridSpan w:val="3"/>
            <w:vAlign w:val="center"/>
          </w:tcPr>
          <w:p>
            <w:pPr>
              <w:pStyle w:val="14"/>
              <w:ind w:firstLine="360"/>
              <w:rPr>
                <w:rFonts w:cs="Times New Roman"/>
                <w:snapToGrid w:val="0"/>
                <w:color w:val="auto"/>
                <w:highlight w:val="none"/>
              </w:rPr>
            </w:pPr>
            <w:r>
              <w:rPr>
                <w:color w:val="auto"/>
                <w:highlight w:val="none"/>
              </w:rPr>
              <w:fldChar w:fldCharType="begin"/>
            </w:r>
            <w:r>
              <w:rPr>
                <w:color w:val="auto"/>
                <w:highlight w:val="none"/>
              </w:rPr>
              <w:instrText xml:space="preserve"> HYPERLINK "mailto:284971990@qq.com" </w:instrText>
            </w:r>
            <w:r>
              <w:rPr>
                <w:color w:val="auto"/>
                <w:highlight w:val="none"/>
              </w:rPr>
              <w:fldChar w:fldCharType="separate"/>
            </w:r>
            <w:r>
              <w:rPr>
                <w:rFonts w:cs="Times New Roman"/>
                <w:color w:val="auto"/>
                <w:highlight w:val="none"/>
              </w:rPr>
              <w:t xml:space="preserve"> </w:t>
            </w:r>
            <w:r>
              <w:rPr>
                <w:rFonts w:hint="eastAsia" w:cs="Times New Roman"/>
                <w:snapToGrid w:val="0"/>
                <w:color w:val="auto"/>
                <w:highlight w:val="none"/>
                <w:u w:val="single"/>
              </w:rPr>
              <w:t>609321542</w:t>
            </w:r>
            <w:r>
              <w:rPr>
                <w:rFonts w:cs="Times New Roman"/>
                <w:snapToGrid w:val="0"/>
                <w:color w:val="auto"/>
                <w:highlight w:val="none"/>
                <w:u w:val="single"/>
              </w:rPr>
              <w:t>@qq.com</w:t>
            </w:r>
            <w:r>
              <w:rPr>
                <w:rFonts w:cs="Times New Roman"/>
                <w:snapToGrid w:val="0"/>
                <w:color w:val="auto"/>
                <w:highlight w:val="none"/>
                <w:u w:val="single"/>
              </w:rPr>
              <w:fldChar w:fldCharType="end"/>
            </w:r>
          </w:p>
        </w:tc>
        <w:tc>
          <w:tcPr>
            <w:tcW w:w="1350" w:type="dxa"/>
            <w:gridSpan w:val="2"/>
            <w:vAlign w:val="center"/>
          </w:tcPr>
          <w:p>
            <w:pPr>
              <w:adjustRightInd w:val="0"/>
              <w:snapToGrid w:val="0"/>
              <w:spacing w:line="240" w:lineRule="auto"/>
              <w:ind w:firstLine="0" w:firstLineChars="0"/>
              <w:jc w:val="center"/>
              <w:rPr>
                <w:rFonts w:cs="Times New Roman"/>
                <w:bCs/>
                <w:color w:val="auto"/>
                <w:sz w:val="18"/>
                <w:szCs w:val="18"/>
                <w:highlight w:val="none"/>
              </w:rPr>
            </w:pPr>
            <w:r>
              <w:rPr>
                <w:rFonts w:cs="Times New Roman"/>
                <w:bCs/>
                <w:color w:val="auto"/>
                <w:sz w:val="18"/>
                <w:szCs w:val="18"/>
                <w:highlight w:val="none"/>
              </w:rPr>
              <w:t>电子邮箱</w:t>
            </w:r>
          </w:p>
        </w:tc>
        <w:tc>
          <w:tcPr>
            <w:tcW w:w="3235" w:type="dxa"/>
            <w:gridSpan w:val="3"/>
            <w:tcMar>
              <w:left w:w="0" w:type="dxa"/>
              <w:right w:w="0" w:type="dxa"/>
            </w:tcMar>
            <w:vAlign w:val="center"/>
          </w:tcPr>
          <w:p>
            <w:pPr>
              <w:adjustRightInd w:val="0"/>
              <w:snapToGrid w:val="0"/>
              <w:spacing w:line="240" w:lineRule="auto"/>
              <w:ind w:firstLine="0" w:firstLineChars="0"/>
              <w:jc w:val="center"/>
              <w:rPr>
                <w:rFonts w:cs="Times New Roman"/>
                <w:color w:val="auto"/>
                <w:sz w:val="18"/>
                <w:highlight w:val="none"/>
              </w:rPr>
            </w:pPr>
            <w:r>
              <w:rPr>
                <w:rFonts w:hint="eastAsia" w:cs="Times New Roman"/>
                <w:color w:val="auto"/>
                <w:sz w:val="18"/>
                <w:highlight w:val="none"/>
                <w:u w:val="single"/>
              </w:rPr>
              <w:t>645180021@qq.com</w:t>
            </w:r>
          </w:p>
        </w:tc>
      </w:tr>
    </w:tbl>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cols w:space="425" w:num="1"/>
          <w:docGrid w:type="lines" w:linePitch="312" w:charSpace="0"/>
        </w:sectPr>
      </w:pPr>
    </w:p>
    <w:p>
      <w:pPr>
        <w:ind w:firstLine="0" w:firstLineChars="0"/>
        <w:jc w:val="center"/>
        <w:rPr>
          <w:rFonts w:eastAsia="黑体" w:cs="Times New Roman"/>
          <w:color w:val="auto"/>
          <w:sz w:val="32"/>
          <w:highlight w:val="none"/>
        </w:rPr>
      </w:pPr>
      <w:r>
        <w:rPr>
          <w:rFonts w:eastAsia="黑体" w:cs="Times New Roman"/>
          <w:color w:val="auto"/>
          <w:sz w:val="32"/>
          <w:highlight w:val="none"/>
        </w:rPr>
        <w:t>目 录</w:t>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rFonts w:ascii="Times New Roman" w:hAnsi="Times New Roman" w:cs="Times New Roman"/>
          <w:b w:val="0"/>
          <w:color w:val="auto"/>
          <w:sz w:val="36"/>
          <w:szCs w:val="40"/>
          <w:highlight w:val="none"/>
        </w:rPr>
        <w:fldChar w:fldCharType="begin"/>
      </w:r>
      <w:r>
        <w:rPr>
          <w:rFonts w:ascii="Times New Roman" w:hAnsi="Times New Roman" w:cs="Times New Roman"/>
          <w:b w:val="0"/>
          <w:color w:val="auto"/>
          <w:sz w:val="36"/>
          <w:szCs w:val="40"/>
          <w:highlight w:val="none"/>
        </w:rPr>
        <w:instrText xml:space="preserve"> TOC \o "1-2" \h \z \u </w:instrText>
      </w:r>
      <w:r>
        <w:rPr>
          <w:rFonts w:ascii="Times New Roman" w:hAnsi="Times New Roman" w:cs="Times New Roman"/>
          <w:b w:val="0"/>
          <w:color w:val="auto"/>
          <w:sz w:val="36"/>
          <w:szCs w:val="40"/>
          <w:highlight w:val="none"/>
        </w:rPr>
        <w:fldChar w:fldCharType="separate"/>
      </w:r>
      <w:r>
        <w:rPr>
          <w:color w:val="auto"/>
          <w:highlight w:val="none"/>
        </w:rPr>
        <w:fldChar w:fldCharType="begin"/>
      </w:r>
      <w:r>
        <w:rPr>
          <w:color w:val="auto"/>
          <w:highlight w:val="none"/>
        </w:rPr>
        <w:instrText xml:space="preserve"> HYPERLINK \l "_Toc10581" </w:instrText>
      </w:r>
      <w:r>
        <w:rPr>
          <w:color w:val="auto"/>
          <w:highlight w:val="none"/>
        </w:rPr>
        <w:fldChar w:fldCharType="separate"/>
      </w:r>
      <w:r>
        <w:rPr>
          <w:rFonts w:ascii="Times New Roman" w:hAnsi="Times New Roman" w:cs="Times New Roman"/>
          <w:b w:val="0"/>
          <w:color w:val="auto"/>
          <w:sz w:val="24"/>
          <w:szCs w:val="40"/>
          <w:highlight w:val="none"/>
        </w:rPr>
        <w:t>前  言</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_Toc10581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1</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color w:val="auto"/>
          <w:highlight w:val="none"/>
        </w:rPr>
        <w:fldChar w:fldCharType="begin"/>
      </w:r>
      <w:r>
        <w:rPr>
          <w:color w:val="auto"/>
          <w:highlight w:val="none"/>
        </w:rPr>
        <w:instrText xml:space="preserve"> HYPERLINK \l "_Toc31886" </w:instrText>
      </w:r>
      <w:r>
        <w:rPr>
          <w:color w:val="auto"/>
          <w:highlight w:val="none"/>
        </w:rPr>
        <w:fldChar w:fldCharType="separate"/>
      </w:r>
      <w:r>
        <w:rPr>
          <w:rFonts w:ascii="Times New Roman" w:hAnsi="Times New Roman" w:cs="Times New Roman"/>
          <w:b w:val="0"/>
          <w:color w:val="auto"/>
          <w:sz w:val="24"/>
          <w:szCs w:val="24"/>
          <w:highlight w:val="none"/>
        </w:rPr>
        <w:t>1 项目及项目区概况</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_Toc31886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6</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"_Toc8468" </w:instrText>
      </w:r>
      <w:r>
        <w:rPr>
          <w:color w:val="auto"/>
          <w:highlight w:val="none"/>
        </w:rPr>
        <w:fldChar w:fldCharType="separate"/>
      </w:r>
      <w:r>
        <w:rPr>
          <w:rFonts w:ascii="Times New Roman" w:hAnsi="Times New Roman" w:cs="Times New Roman"/>
          <w:bCs/>
          <w:color w:val="auto"/>
          <w:sz w:val="24"/>
          <w:szCs w:val="24"/>
          <w:highlight w:val="none"/>
        </w:rPr>
        <w:t>1.1 项目概况</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_Toc8468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6</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"_Toc15774" </w:instrText>
      </w:r>
      <w:r>
        <w:rPr>
          <w:color w:val="auto"/>
          <w:highlight w:val="none"/>
        </w:rPr>
        <w:fldChar w:fldCharType="separate"/>
      </w:r>
      <w:r>
        <w:rPr>
          <w:rFonts w:ascii="Times New Roman" w:hAnsi="Times New Roman" w:cs="Times New Roman"/>
          <w:bCs/>
          <w:color w:val="auto"/>
          <w:sz w:val="24"/>
          <w:szCs w:val="24"/>
          <w:highlight w:val="none"/>
        </w:rPr>
        <w:t>1.2 项目区概况</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_Toc15774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12</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color w:val="auto"/>
          <w:highlight w:val="none"/>
        </w:rPr>
        <w:fldChar w:fldCharType="begin"/>
      </w:r>
      <w:r>
        <w:rPr>
          <w:color w:val="auto"/>
          <w:highlight w:val="none"/>
        </w:rPr>
        <w:instrText xml:space="preserve"> HYPERLINK \l "_Toc23453" </w:instrText>
      </w:r>
      <w:r>
        <w:rPr>
          <w:color w:val="auto"/>
          <w:highlight w:val="none"/>
        </w:rPr>
        <w:fldChar w:fldCharType="separate"/>
      </w:r>
      <w:r>
        <w:rPr>
          <w:rFonts w:ascii="Times New Roman" w:hAnsi="Times New Roman" w:cs="Times New Roman"/>
          <w:b w:val="0"/>
          <w:color w:val="auto"/>
          <w:sz w:val="24"/>
          <w:szCs w:val="24"/>
          <w:highlight w:val="none"/>
        </w:rPr>
        <w:t>2 水土保持方案和设计情况</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_Toc23453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17</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"_Toc12537" </w:instrText>
      </w:r>
      <w:r>
        <w:rPr>
          <w:color w:val="auto"/>
          <w:highlight w:val="none"/>
        </w:rPr>
        <w:fldChar w:fldCharType="separate"/>
      </w:r>
      <w:r>
        <w:rPr>
          <w:rFonts w:ascii="Times New Roman" w:hAnsi="Times New Roman" w:cs="Times New Roman"/>
          <w:bCs/>
          <w:color w:val="auto"/>
          <w:sz w:val="24"/>
          <w:szCs w:val="24"/>
          <w:highlight w:val="none"/>
        </w:rPr>
        <w:t>2.1 主体工程设计</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_Toc12537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17</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"_Toc17482" </w:instrText>
      </w:r>
      <w:r>
        <w:rPr>
          <w:color w:val="auto"/>
          <w:highlight w:val="none"/>
        </w:rPr>
        <w:fldChar w:fldCharType="separate"/>
      </w:r>
      <w:r>
        <w:rPr>
          <w:rFonts w:ascii="Times New Roman" w:hAnsi="Times New Roman" w:cs="Times New Roman"/>
          <w:bCs/>
          <w:color w:val="auto"/>
          <w:sz w:val="24"/>
          <w:szCs w:val="24"/>
          <w:highlight w:val="none"/>
        </w:rPr>
        <w:t>2.2 水土保持方案</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_Toc17482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17</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"_Toc11229" </w:instrText>
      </w:r>
      <w:r>
        <w:rPr>
          <w:color w:val="auto"/>
          <w:highlight w:val="none"/>
        </w:rPr>
        <w:fldChar w:fldCharType="separate"/>
      </w:r>
      <w:r>
        <w:rPr>
          <w:rFonts w:ascii="Times New Roman" w:hAnsi="Times New Roman" w:cs="Times New Roman"/>
          <w:bCs/>
          <w:color w:val="auto"/>
          <w:sz w:val="24"/>
          <w:szCs w:val="24"/>
          <w:highlight w:val="none"/>
        </w:rPr>
        <w:t>2.3 水土保持方案变更</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_Toc11229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17</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"_Toc15746" </w:instrText>
      </w:r>
      <w:r>
        <w:rPr>
          <w:color w:val="auto"/>
          <w:highlight w:val="none"/>
        </w:rPr>
        <w:fldChar w:fldCharType="separate"/>
      </w:r>
      <w:r>
        <w:rPr>
          <w:rFonts w:ascii="Times New Roman" w:hAnsi="Times New Roman" w:cs="Times New Roman"/>
          <w:bCs/>
          <w:color w:val="auto"/>
          <w:sz w:val="24"/>
          <w:szCs w:val="24"/>
          <w:highlight w:val="none"/>
        </w:rPr>
        <w:t>2.4 水土保持方案设计情况</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_Toc15746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20</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"_Toc26797" </w:instrText>
      </w:r>
      <w:r>
        <w:rPr>
          <w:color w:val="auto"/>
          <w:highlight w:val="none"/>
        </w:rPr>
        <w:fldChar w:fldCharType="separate"/>
      </w:r>
      <w:r>
        <w:rPr>
          <w:rFonts w:ascii="Times New Roman" w:hAnsi="Times New Roman" w:cs="Times New Roman"/>
          <w:bCs/>
          <w:color w:val="auto"/>
          <w:sz w:val="24"/>
          <w:szCs w:val="24"/>
          <w:highlight w:val="none"/>
        </w:rPr>
        <w:t>2.5 水土保持后续设计</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_Toc26797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21</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color w:val="auto"/>
          <w:highlight w:val="none"/>
        </w:rPr>
        <w:fldChar w:fldCharType="begin"/>
      </w:r>
      <w:r>
        <w:rPr>
          <w:color w:val="auto"/>
          <w:highlight w:val="none"/>
        </w:rPr>
        <w:instrText xml:space="preserve"> HYPERLINK \l "_Toc23373" </w:instrText>
      </w:r>
      <w:r>
        <w:rPr>
          <w:color w:val="auto"/>
          <w:highlight w:val="none"/>
        </w:rPr>
        <w:fldChar w:fldCharType="separate"/>
      </w:r>
      <w:r>
        <w:rPr>
          <w:rFonts w:ascii="Times New Roman" w:hAnsi="Times New Roman" w:cs="Times New Roman"/>
          <w:b w:val="0"/>
          <w:color w:val="auto"/>
          <w:sz w:val="24"/>
          <w:szCs w:val="24"/>
          <w:highlight w:val="none"/>
        </w:rPr>
        <w:t>3 水土保持方案实施情况</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_Toc23373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22</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"_Toc10681" </w:instrText>
      </w:r>
      <w:r>
        <w:rPr>
          <w:color w:val="auto"/>
          <w:highlight w:val="none"/>
        </w:rPr>
        <w:fldChar w:fldCharType="separate"/>
      </w:r>
      <w:r>
        <w:rPr>
          <w:rFonts w:ascii="Times New Roman" w:hAnsi="Times New Roman" w:cs="Times New Roman"/>
          <w:bCs/>
          <w:color w:val="auto"/>
          <w:sz w:val="24"/>
          <w:szCs w:val="24"/>
          <w:highlight w:val="none"/>
        </w:rPr>
        <w:t>3.1 水土流失防治责任范围</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_Toc10681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22</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"_Toc893" </w:instrText>
      </w:r>
      <w:r>
        <w:rPr>
          <w:color w:val="auto"/>
          <w:highlight w:val="none"/>
        </w:rPr>
        <w:fldChar w:fldCharType="separate"/>
      </w:r>
      <w:r>
        <w:rPr>
          <w:rFonts w:ascii="Times New Roman" w:hAnsi="Times New Roman" w:cs="Times New Roman"/>
          <w:bCs/>
          <w:color w:val="auto"/>
          <w:sz w:val="24"/>
          <w:szCs w:val="24"/>
          <w:highlight w:val="none"/>
        </w:rPr>
        <w:t>3.2 弃渣场设置</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_Toc893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23</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"_Toc16201" </w:instrText>
      </w:r>
      <w:r>
        <w:rPr>
          <w:color w:val="auto"/>
          <w:highlight w:val="none"/>
        </w:rPr>
        <w:fldChar w:fldCharType="separate"/>
      </w:r>
      <w:r>
        <w:rPr>
          <w:rFonts w:ascii="Times New Roman" w:hAnsi="Times New Roman" w:cs="Times New Roman"/>
          <w:bCs/>
          <w:color w:val="auto"/>
          <w:sz w:val="24"/>
          <w:szCs w:val="24"/>
          <w:highlight w:val="none"/>
        </w:rPr>
        <w:t>3.3 取土场设置</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_Toc16201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23</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"_Toc10256" </w:instrText>
      </w:r>
      <w:r>
        <w:rPr>
          <w:color w:val="auto"/>
          <w:highlight w:val="none"/>
        </w:rPr>
        <w:fldChar w:fldCharType="separate"/>
      </w:r>
      <w:r>
        <w:rPr>
          <w:rFonts w:ascii="Times New Roman" w:hAnsi="Times New Roman" w:cs="Times New Roman"/>
          <w:bCs/>
          <w:color w:val="auto"/>
          <w:sz w:val="24"/>
          <w:szCs w:val="24"/>
          <w:highlight w:val="none"/>
        </w:rPr>
        <w:t>3.4 水土保持措施总体布局</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_Toc10256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23</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"_Toc29418" </w:instrText>
      </w:r>
      <w:r>
        <w:rPr>
          <w:color w:val="auto"/>
          <w:highlight w:val="none"/>
        </w:rPr>
        <w:fldChar w:fldCharType="separate"/>
      </w:r>
      <w:r>
        <w:rPr>
          <w:rFonts w:ascii="Times New Roman" w:hAnsi="Times New Roman" w:cs="Times New Roman"/>
          <w:bCs/>
          <w:color w:val="auto"/>
          <w:sz w:val="24"/>
          <w:szCs w:val="24"/>
          <w:highlight w:val="none"/>
        </w:rPr>
        <w:t>3.5 水土保持设施完成情况</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_Toc29418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24</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"_Toc13755" </w:instrText>
      </w:r>
      <w:r>
        <w:rPr>
          <w:color w:val="auto"/>
          <w:highlight w:val="none"/>
        </w:rPr>
        <w:fldChar w:fldCharType="separate"/>
      </w:r>
      <w:r>
        <w:rPr>
          <w:rFonts w:ascii="Times New Roman" w:hAnsi="Times New Roman" w:cs="Times New Roman"/>
          <w:bCs/>
          <w:color w:val="auto"/>
          <w:sz w:val="24"/>
          <w:szCs w:val="24"/>
          <w:highlight w:val="none"/>
        </w:rPr>
        <w:t>3.6 水土保持投资完成情况</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_Toc13755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28</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color w:val="auto"/>
          <w:highlight w:val="none"/>
        </w:rPr>
        <w:fldChar w:fldCharType="begin"/>
      </w:r>
      <w:r>
        <w:rPr>
          <w:color w:val="auto"/>
          <w:highlight w:val="none"/>
        </w:rPr>
        <w:instrText xml:space="preserve"> HYPERLINK \l "_Toc10840" </w:instrText>
      </w:r>
      <w:r>
        <w:rPr>
          <w:color w:val="auto"/>
          <w:highlight w:val="none"/>
        </w:rPr>
        <w:fldChar w:fldCharType="separate"/>
      </w:r>
      <w:r>
        <w:rPr>
          <w:rFonts w:ascii="Times New Roman" w:hAnsi="Times New Roman" w:cs="Times New Roman"/>
          <w:b w:val="0"/>
          <w:color w:val="auto"/>
          <w:sz w:val="24"/>
          <w:szCs w:val="24"/>
          <w:highlight w:val="none"/>
        </w:rPr>
        <w:t>4 水土保持工程质量</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_Toc10840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32</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"_Toc24513" </w:instrText>
      </w:r>
      <w:r>
        <w:rPr>
          <w:color w:val="auto"/>
          <w:highlight w:val="none"/>
        </w:rPr>
        <w:fldChar w:fldCharType="separate"/>
      </w:r>
      <w:r>
        <w:rPr>
          <w:rFonts w:ascii="Times New Roman" w:hAnsi="Times New Roman" w:cs="Times New Roman"/>
          <w:bCs/>
          <w:color w:val="auto"/>
          <w:sz w:val="24"/>
          <w:szCs w:val="24"/>
          <w:highlight w:val="none"/>
        </w:rPr>
        <w:t>4.1 质量管理体系</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_Toc24513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32</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"_Toc26229" </w:instrText>
      </w:r>
      <w:r>
        <w:rPr>
          <w:color w:val="auto"/>
          <w:highlight w:val="none"/>
        </w:rPr>
        <w:fldChar w:fldCharType="separate"/>
      </w:r>
      <w:r>
        <w:rPr>
          <w:rFonts w:ascii="Times New Roman" w:hAnsi="Times New Roman" w:cs="Times New Roman"/>
          <w:bCs/>
          <w:color w:val="auto"/>
          <w:sz w:val="24"/>
          <w:szCs w:val="24"/>
          <w:highlight w:val="none"/>
        </w:rPr>
        <w:t>4.2 各防治分区水土保持工程质量评定</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_Toc26229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34</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"_Toc31614" </w:instrText>
      </w:r>
      <w:r>
        <w:rPr>
          <w:color w:val="auto"/>
          <w:highlight w:val="none"/>
        </w:rPr>
        <w:fldChar w:fldCharType="separate"/>
      </w:r>
      <w:r>
        <w:rPr>
          <w:rFonts w:ascii="Times New Roman" w:hAnsi="Times New Roman" w:cs="Times New Roman"/>
          <w:bCs/>
          <w:color w:val="auto"/>
          <w:sz w:val="24"/>
          <w:szCs w:val="24"/>
          <w:highlight w:val="none"/>
        </w:rPr>
        <w:t>4.3 弃渣场稳定性评估</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_Toc31614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41</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"_Toc10023" </w:instrText>
      </w:r>
      <w:r>
        <w:rPr>
          <w:color w:val="auto"/>
          <w:highlight w:val="none"/>
        </w:rPr>
        <w:fldChar w:fldCharType="separate"/>
      </w:r>
      <w:r>
        <w:rPr>
          <w:rFonts w:ascii="Times New Roman" w:hAnsi="Times New Roman" w:cs="Times New Roman"/>
          <w:bCs/>
          <w:color w:val="auto"/>
          <w:sz w:val="24"/>
          <w:szCs w:val="24"/>
          <w:highlight w:val="none"/>
        </w:rPr>
        <w:t>4.4 总体质量评价</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_Toc10023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41</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color w:val="auto"/>
          <w:highlight w:val="none"/>
        </w:rPr>
        <w:fldChar w:fldCharType="begin"/>
      </w:r>
      <w:r>
        <w:rPr>
          <w:color w:val="auto"/>
          <w:highlight w:val="none"/>
        </w:rPr>
        <w:instrText xml:space="preserve"> HYPERLINK \l "_Toc29007" </w:instrText>
      </w:r>
      <w:r>
        <w:rPr>
          <w:color w:val="auto"/>
          <w:highlight w:val="none"/>
        </w:rPr>
        <w:fldChar w:fldCharType="separate"/>
      </w:r>
      <w:r>
        <w:rPr>
          <w:rFonts w:ascii="Times New Roman" w:hAnsi="Times New Roman" w:cs="Times New Roman"/>
          <w:b w:val="0"/>
          <w:color w:val="auto"/>
          <w:sz w:val="24"/>
          <w:szCs w:val="24"/>
          <w:highlight w:val="none"/>
        </w:rPr>
        <w:t>5 项目初期运行及水土保持效果</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_Toc29007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43</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"_Toc17184" </w:instrText>
      </w:r>
      <w:r>
        <w:rPr>
          <w:color w:val="auto"/>
          <w:highlight w:val="none"/>
        </w:rPr>
        <w:fldChar w:fldCharType="separate"/>
      </w:r>
      <w:r>
        <w:rPr>
          <w:rFonts w:ascii="Times New Roman" w:hAnsi="Times New Roman" w:cs="Times New Roman"/>
          <w:bCs/>
          <w:color w:val="auto"/>
          <w:sz w:val="24"/>
          <w:szCs w:val="24"/>
          <w:highlight w:val="none"/>
        </w:rPr>
        <w:t>5.1 初期运行情况</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_Toc17184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43</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"_Toc13761" </w:instrText>
      </w:r>
      <w:r>
        <w:rPr>
          <w:color w:val="auto"/>
          <w:highlight w:val="none"/>
        </w:rPr>
        <w:fldChar w:fldCharType="separate"/>
      </w:r>
      <w:r>
        <w:rPr>
          <w:rFonts w:ascii="Times New Roman" w:hAnsi="Times New Roman" w:cs="Times New Roman"/>
          <w:bCs/>
          <w:color w:val="auto"/>
          <w:sz w:val="24"/>
          <w:szCs w:val="24"/>
          <w:highlight w:val="none"/>
        </w:rPr>
        <w:t>5.2 水土保持效果</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_Toc13761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43</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"_Toc31444" </w:instrText>
      </w:r>
      <w:r>
        <w:rPr>
          <w:color w:val="auto"/>
          <w:highlight w:val="none"/>
        </w:rPr>
        <w:fldChar w:fldCharType="separate"/>
      </w:r>
      <w:r>
        <w:rPr>
          <w:rFonts w:ascii="Times New Roman" w:hAnsi="Times New Roman" w:cs="Times New Roman"/>
          <w:bCs/>
          <w:color w:val="auto"/>
          <w:sz w:val="24"/>
          <w:szCs w:val="24"/>
          <w:highlight w:val="none"/>
        </w:rPr>
        <w:t>5.3 公众满意度调查</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_Toc31444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46</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color w:val="auto"/>
          <w:highlight w:val="none"/>
        </w:rPr>
        <w:fldChar w:fldCharType="begin"/>
      </w:r>
      <w:r>
        <w:rPr>
          <w:color w:val="auto"/>
          <w:highlight w:val="none"/>
        </w:rPr>
        <w:instrText xml:space="preserve"> HYPERLINK \l "_Toc5418" </w:instrText>
      </w:r>
      <w:r>
        <w:rPr>
          <w:color w:val="auto"/>
          <w:highlight w:val="none"/>
        </w:rPr>
        <w:fldChar w:fldCharType="separate"/>
      </w:r>
      <w:r>
        <w:rPr>
          <w:rFonts w:ascii="Times New Roman" w:hAnsi="Times New Roman" w:cs="Times New Roman"/>
          <w:b w:val="0"/>
          <w:color w:val="auto"/>
          <w:sz w:val="24"/>
          <w:szCs w:val="24"/>
          <w:highlight w:val="none"/>
        </w:rPr>
        <w:t>6 水土保持管理</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_Toc5418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49</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"_Toc2089" </w:instrText>
      </w:r>
      <w:r>
        <w:rPr>
          <w:color w:val="auto"/>
          <w:highlight w:val="none"/>
        </w:rPr>
        <w:fldChar w:fldCharType="separate"/>
      </w:r>
      <w:r>
        <w:rPr>
          <w:rFonts w:ascii="Times New Roman" w:hAnsi="Times New Roman" w:cs="Times New Roman"/>
          <w:bCs/>
          <w:color w:val="auto"/>
          <w:sz w:val="24"/>
          <w:szCs w:val="24"/>
          <w:highlight w:val="none"/>
        </w:rPr>
        <w:t>6.1 组织领导</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_Toc2089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49</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"_Toc11547" </w:instrText>
      </w:r>
      <w:r>
        <w:rPr>
          <w:color w:val="auto"/>
          <w:highlight w:val="none"/>
        </w:rPr>
        <w:fldChar w:fldCharType="separate"/>
      </w:r>
      <w:r>
        <w:rPr>
          <w:rFonts w:ascii="Times New Roman" w:hAnsi="Times New Roman" w:cs="Times New Roman"/>
          <w:bCs/>
          <w:color w:val="auto"/>
          <w:sz w:val="24"/>
          <w:szCs w:val="24"/>
          <w:highlight w:val="none"/>
        </w:rPr>
        <w:t>6.2 规章制度</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_Toc11547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49</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ascii="Times New Roman" w:hAnsi="Times New Roman" w:cs="Times New Roman"/>
          <w:bCs/>
          <w:color w:val="auto"/>
          <w:sz w:val="24"/>
          <w:szCs w:val="24"/>
          <w:highlight w:val="none"/>
        </w:rPr>
        <w:t>6.3 建设管理</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_Toc14504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50</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"_Toc2634" </w:instrText>
      </w:r>
      <w:r>
        <w:rPr>
          <w:color w:val="auto"/>
          <w:highlight w:val="none"/>
        </w:rPr>
        <w:fldChar w:fldCharType="separate"/>
      </w:r>
      <w:r>
        <w:rPr>
          <w:rFonts w:ascii="Times New Roman" w:hAnsi="Times New Roman" w:cs="Times New Roman"/>
          <w:bCs/>
          <w:color w:val="auto"/>
          <w:sz w:val="24"/>
          <w:szCs w:val="24"/>
          <w:highlight w:val="none"/>
        </w:rPr>
        <w:t>6.4 水土保持监测</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_Toc2634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51</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"_Toc20023" </w:instrText>
      </w:r>
      <w:r>
        <w:rPr>
          <w:color w:val="auto"/>
          <w:highlight w:val="none"/>
        </w:rPr>
        <w:fldChar w:fldCharType="separate"/>
      </w:r>
      <w:r>
        <w:rPr>
          <w:rFonts w:ascii="Times New Roman" w:hAnsi="Times New Roman" w:cs="Times New Roman"/>
          <w:bCs/>
          <w:color w:val="auto"/>
          <w:sz w:val="24"/>
          <w:szCs w:val="24"/>
          <w:highlight w:val="none"/>
        </w:rPr>
        <w:t>6.5 水土保持监理</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_Toc20023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55</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"_Toc22245" </w:instrText>
      </w:r>
      <w:r>
        <w:rPr>
          <w:color w:val="auto"/>
          <w:highlight w:val="none"/>
        </w:rPr>
        <w:fldChar w:fldCharType="separate"/>
      </w:r>
      <w:r>
        <w:rPr>
          <w:rFonts w:ascii="Times New Roman" w:hAnsi="Times New Roman" w:cs="Times New Roman"/>
          <w:bCs/>
          <w:color w:val="auto"/>
          <w:sz w:val="24"/>
          <w:szCs w:val="24"/>
          <w:highlight w:val="none"/>
        </w:rPr>
        <w:t>6.6 水行政主管部门监督检查意见落实情况</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_Toc22245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57</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"_Toc678" </w:instrText>
      </w:r>
      <w:r>
        <w:rPr>
          <w:color w:val="auto"/>
          <w:highlight w:val="none"/>
        </w:rPr>
        <w:fldChar w:fldCharType="separate"/>
      </w:r>
      <w:r>
        <w:rPr>
          <w:rFonts w:ascii="Times New Roman" w:hAnsi="Times New Roman" w:cs="Times New Roman"/>
          <w:bCs/>
          <w:color w:val="auto"/>
          <w:sz w:val="24"/>
          <w:szCs w:val="24"/>
          <w:highlight w:val="none"/>
        </w:rPr>
        <w:t>6.7 水土保持补偿费缴纳情况</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_Toc678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57</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"_Toc9330" </w:instrText>
      </w:r>
      <w:r>
        <w:rPr>
          <w:color w:val="auto"/>
          <w:highlight w:val="none"/>
        </w:rPr>
        <w:fldChar w:fldCharType="separate"/>
      </w:r>
      <w:r>
        <w:rPr>
          <w:rFonts w:ascii="Times New Roman" w:hAnsi="Times New Roman" w:cs="Times New Roman"/>
          <w:bCs/>
          <w:color w:val="auto"/>
          <w:sz w:val="24"/>
          <w:szCs w:val="24"/>
          <w:highlight w:val="none"/>
        </w:rPr>
        <w:t>6.8 水土保持设施管理维护</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_Toc9330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57</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color w:val="auto"/>
          <w:highlight w:val="none"/>
        </w:rPr>
        <w:fldChar w:fldCharType="begin"/>
      </w:r>
      <w:r>
        <w:rPr>
          <w:color w:val="auto"/>
          <w:highlight w:val="none"/>
        </w:rPr>
        <w:instrText xml:space="preserve"> HYPERLINK \l "_Toc11409" </w:instrText>
      </w:r>
      <w:r>
        <w:rPr>
          <w:color w:val="auto"/>
          <w:highlight w:val="none"/>
        </w:rPr>
        <w:fldChar w:fldCharType="separate"/>
      </w:r>
      <w:r>
        <w:rPr>
          <w:rFonts w:ascii="Times New Roman" w:hAnsi="Times New Roman" w:cs="Times New Roman"/>
          <w:b w:val="0"/>
          <w:color w:val="auto"/>
          <w:sz w:val="24"/>
          <w:szCs w:val="24"/>
          <w:highlight w:val="none"/>
        </w:rPr>
        <w:t>7 结论</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_Toc11409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59</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"_Toc30111" </w:instrText>
      </w:r>
      <w:r>
        <w:rPr>
          <w:color w:val="auto"/>
          <w:highlight w:val="none"/>
        </w:rPr>
        <w:fldChar w:fldCharType="separate"/>
      </w:r>
      <w:r>
        <w:rPr>
          <w:rFonts w:ascii="Times New Roman" w:hAnsi="Times New Roman" w:cs="Times New Roman"/>
          <w:bCs/>
          <w:color w:val="auto"/>
          <w:sz w:val="24"/>
          <w:szCs w:val="24"/>
          <w:highlight w:val="none"/>
        </w:rPr>
        <w:t>7.1 结论</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_Toc30111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59</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"_Toc14436" </w:instrText>
      </w:r>
      <w:r>
        <w:rPr>
          <w:color w:val="auto"/>
          <w:highlight w:val="none"/>
        </w:rPr>
        <w:fldChar w:fldCharType="separate"/>
      </w:r>
      <w:r>
        <w:rPr>
          <w:rFonts w:ascii="Times New Roman" w:hAnsi="Times New Roman" w:cs="Times New Roman"/>
          <w:bCs/>
          <w:color w:val="auto"/>
          <w:sz w:val="24"/>
          <w:szCs w:val="24"/>
          <w:highlight w:val="none"/>
        </w:rPr>
        <w:t>7.2 遗留问题安排</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_Toc14436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60</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"_Toc4022" </w:instrText>
      </w:r>
      <w:r>
        <w:rPr>
          <w:color w:val="auto"/>
          <w:highlight w:val="none"/>
        </w:rPr>
        <w:fldChar w:fldCharType="separate"/>
      </w:r>
      <w:r>
        <w:rPr>
          <w:rFonts w:ascii="Times New Roman" w:hAnsi="Times New Roman" w:cs="Times New Roman"/>
          <w:bCs/>
          <w:color w:val="auto"/>
          <w:sz w:val="24"/>
          <w:szCs w:val="24"/>
          <w:highlight w:val="none"/>
        </w:rPr>
        <w:t>7.3 建议</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_Toc4022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60</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9"/>
        <w:tabs>
          <w:tab w:val="right" w:leader="dot" w:pos="9072"/>
        </w:tabs>
        <w:spacing w:before="0" w:after="0"/>
        <w:ind w:firstLine="0" w:firstLineChars="0"/>
        <w:rPr>
          <w:rFonts w:ascii="Times New Roman" w:hAnsi="Times New Roman" w:cs="Times New Roman"/>
          <w:b w:val="0"/>
          <w:color w:val="auto"/>
          <w:sz w:val="24"/>
          <w:szCs w:val="24"/>
          <w:highlight w:val="none"/>
        </w:rPr>
      </w:pPr>
      <w:r>
        <w:rPr>
          <w:color w:val="auto"/>
          <w:highlight w:val="none"/>
        </w:rPr>
        <w:fldChar w:fldCharType="begin"/>
      </w:r>
      <w:r>
        <w:rPr>
          <w:color w:val="auto"/>
          <w:highlight w:val="none"/>
        </w:rPr>
        <w:instrText xml:space="preserve"> HYPERLINK \l "_Toc32398" </w:instrText>
      </w:r>
      <w:r>
        <w:rPr>
          <w:color w:val="auto"/>
          <w:highlight w:val="none"/>
        </w:rPr>
        <w:fldChar w:fldCharType="separate"/>
      </w:r>
      <w:r>
        <w:rPr>
          <w:rFonts w:ascii="Times New Roman" w:hAnsi="Times New Roman" w:cs="Times New Roman"/>
          <w:b w:val="0"/>
          <w:color w:val="auto"/>
          <w:sz w:val="24"/>
          <w:szCs w:val="24"/>
          <w:highlight w:val="none"/>
        </w:rPr>
        <w:t>8 附件及附图</w:t>
      </w:r>
      <w:r>
        <w:rPr>
          <w:rFonts w:ascii="Times New Roman" w:hAnsi="Times New Roman" w:cs="Times New Roman"/>
          <w:b w:val="0"/>
          <w:color w:val="auto"/>
          <w:sz w:val="24"/>
          <w:szCs w:val="24"/>
          <w:highlight w:val="none"/>
        </w:rPr>
        <w:tab/>
      </w:r>
      <w:r>
        <w:rPr>
          <w:rFonts w:ascii="Times New Roman" w:hAnsi="Times New Roman" w:cs="Times New Roman"/>
          <w:b w:val="0"/>
          <w:color w:val="auto"/>
          <w:sz w:val="24"/>
          <w:szCs w:val="24"/>
          <w:highlight w:val="none"/>
        </w:rPr>
        <w:fldChar w:fldCharType="begin"/>
      </w:r>
      <w:r>
        <w:rPr>
          <w:rFonts w:ascii="Times New Roman" w:hAnsi="Times New Roman" w:cs="Times New Roman"/>
          <w:b w:val="0"/>
          <w:color w:val="auto"/>
          <w:sz w:val="24"/>
          <w:szCs w:val="24"/>
          <w:highlight w:val="none"/>
        </w:rPr>
        <w:instrText xml:space="preserve"> PAGEREF _Toc32398 </w:instrText>
      </w:r>
      <w:r>
        <w:rPr>
          <w:rFonts w:ascii="Times New Roman" w:hAnsi="Times New Roman" w:cs="Times New Roman"/>
          <w:b w:val="0"/>
          <w:color w:val="auto"/>
          <w:sz w:val="24"/>
          <w:szCs w:val="24"/>
          <w:highlight w:val="none"/>
        </w:rPr>
        <w:fldChar w:fldCharType="separate"/>
      </w:r>
      <w:r>
        <w:rPr>
          <w:rFonts w:ascii="Times New Roman" w:hAnsi="Times New Roman" w:cs="Times New Roman"/>
          <w:b w:val="0"/>
          <w:color w:val="auto"/>
          <w:sz w:val="24"/>
          <w:szCs w:val="24"/>
          <w:highlight w:val="none"/>
        </w:rPr>
        <w:t>61</w:t>
      </w:r>
      <w:r>
        <w:rPr>
          <w:rFonts w:ascii="Times New Roman" w:hAnsi="Times New Roman" w:cs="Times New Roman"/>
          <w:b w:val="0"/>
          <w:color w:val="auto"/>
          <w:sz w:val="24"/>
          <w:szCs w:val="24"/>
          <w:highlight w:val="none"/>
        </w:rPr>
        <w:fldChar w:fldCharType="end"/>
      </w:r>
      <w:r>
        <w:rPr>
          <w:rFonts w:ascii="Times New Roman" w:hAnsi="Times New Roman" w:cs="Times New Roman"/>
          <w:b w:val="0"/>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"_Toc6288" </w:instrText>
      </w:r>
      <w:r>
        <w:rPr>
          <w:color w:val="auto"/>
          <w:highlight w:val="none"/>
        </w:rPr>
        <w:fldChar w:fldCharType="separate"/>
      </w:r>
      <w:r>
        <w:rPr>
          <w:rFonts w:ascii="Times New Roman" w:hAnsi="Times New Roman" w:cs="Times New Roman"/>
          <w:bCs/>
          <w:color w:val="auto"/>
          <w:sz w:val="24"/>
          <w:szCs w:val="24"/>
          <w:highlight w:val="none"/>
        </w:rPr>
        <w:t>8.1 附件</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_Toc6288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61</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pStyle w:val="10"/>
        <w:tabs>
          <w:tab w:val="right" w:leader="dot" w:pos="9072"/>
        </w:tabs>
        <w:ind w:left="0" w:firstLine="0" w:firstLineChars="0"/>
        <w:rPr>
          <w:rFonts w:ascii="Times New Roman" w:hAnsi="Times New Roman" w:cs="Times New Roman"/>
          <w:bCs/>
          <w:color w:val="auto"/>
          <w:sz w:val="24"/>
          <w:szCs w:val="24"/>
          <w:highlight w:val="none"/>
        </w:rPr>
      </w:pPr>
      <w:r>
        <w:rPr>
          <w:color w:val="auto"/>
          <w:highlight w:val="none"/>
        </w:rPr>
        <w:fldChar w:fldCharType="begin"/>
      </w:r>
      <w:r>
        <w:rPr>
          <w:color w:val="auto"/>
          <w:highlight w:val="none"/>
        </w:rPr>
        <w:instrText xml:space="preserve"> HYPERLINK \l "_Toc2074" </w:instrText>
      </w:r>
      <w:r>
        <w:rPr>
          <w:color w:val="auto"/>
          <w:highlight w:val="none"/>
        </w:rPr>
        <w:fldChar w:fldCharType="separate"/>
      </w:r>
      <w:r>
        <w:rPr>
          <w:rFonts w:ascii="Times New Roman" w:hAnsi="Times New Roman" w:cs="Times New Roman"/>
          <w:bCs/>
          <w:color w:val="auto"/>
          <w:sz w:val="24"/>
          <w:szCs w:val="24"/>
          <w:highlight w:val="none"/>
        </w:rPr>
        <w:t>8.2 附图</w:t>
      </w:r>
      <w:r>
        <w:rPr>
          <w:rFonts w:ascii="Times New Roman" w:hAnsi="Times New Roman" w:cs="Times New Roman"/>
          <w:bCs/>
          <w:color w:val="auto"/>
          <w:sz w:val="24"/>
          <w:szCs w:val="24"/>
          <w:highlight w:val="none"/>
        </w:rPr>
        <w:tab/>
      </w:r>
      <w:r>
        <w:rPr>
          <w:rFonts w:ascii="Times New Roman" w:hAnsi="Times New Roman" w:cs="Times New Roman"/>
          <w:bCs/>
          <w:color w:val="auto"/>
          <w:sz w:val="24"/>
          <w:szCs w:val="24"/>
          <w:highlight w:val="none"/>
        </w:rPr>
        <w:fldChar w:fldCharType="begin"/>
      </w:r>
      <w:r>
        <w:rPr>
          <w:rFonts w:ascii="Times New Roman" w:hAnsi="Times New Roman" w:cs="Times New Roman"/>
          <w:bCs/>
          <w:color w:val="auto"/>
          <w:sz w:val="24"/>
          <w:szCs w:val="24"/>
          <w:highlight w:val="none"/>
        </w:rPr>
        <w:instrText xml:space="preserve"> PAGEREF _Toc2074 </w:instrText>
      </w:r>
      <w:r>
        <w:rPr>
          <w:rFonts w:ascii="Times New Roman" w:hAnsi="Times New Roman" w:cs="Times New Roman"/>
          <w:bCs/>
          <w:color w:val="auto"/>
          <w:sz w:val="24"/>
          <w:szCs w:val="24"/>
          <w:highlight w:val="none"/>
        </w:rPr>
        <w:fldChar w:fldCharType="separate"/>
      </w:r>
      <w:r>
        <w:rPr>
          <w:rFonts w:ascii="Times New Roman" w:hAnsi="Times New Roman" w:cs="Times New Roman"/>
          <w:bCs/>
          <w:color w:val="auto"/>
          <w:sz w:val="24"/>
          <w:szCs w:val="24"/>
          <w:highlight w:val="none"/>
        </w:rPr>
        <w:t>61</w:t>
      </w:r>
      <w:r>
        <w:rPr>
          <w:rFonts w:ascii="Times New Roman" w:hAnsi="Times New Roman" w:cs="Times New Roman"/>
          <w:bCs/>
          <w:color w:val="auto"/>
          <w:sz w:val="24"/>
          <w:szCs w:val="24"/>
          <w:highlight w:val="none"/>
        </w:rPr>
        <w:fldChar w:fldCharType="end"/>
      </w:r>
      <w:r>
        <w:rPr>
          <w:rFonts w:ascii="Times New Roman" w:hAnsi="Times New Roman" w:cs="Times New Roman"/>
          <w:bCs/>
          <w:color w:val="auto"/>
          <w:sz w:val="24"/>
          <w:szCs w:val="24"/>
          <w:highlight w:val="none"/>
        </w:rPr>
        <w:fldChar w:fldCharType="end"/>
      </w:r>
    </w:p>
    <w:p>
      <w:pPr>
        <w:ind w:firstLine="0" w:firstLineChars="0"/>
        <w:jc w:val="center"/>
        <w:rPr>
          <w:rFonts w:cs="Times New Roman"/>
          <w:color w:val="auto"/>
          <w:highlight w:val="none"/>
        </w:rPr>
        <w:sectPr>
          <w:headerReference r:id="rId9" w:type="default"/>
          <w:footerReference r:id="rId10" w:type="default"/>
          <w:pgSz w:w="11906" w:h="16838"/>
          <w:pgMar w:top="1417" w:right="1417" w:bottom="1417" w:left="1417" w:header="851" w:footer="680" w:gutter="0"/>
          <w:pgBorders>
            <w:top w:val="none" w:sz="0" w:space="0"/>
            <w:left w:val="none" w:sz="0" w:space="0"/>
            <w:bottom w:val="none" w:sz="0" w:space="0"/>
            <w:right w:val="none" w:sz="0" w:space="0"/>
          </w:pgBorders>
          <w:pgNumType w:fmt="upperRoman" w:start="1"/>
          <w:cols w:space="425" w:num="1"/>
          <w:docGrid w:type="lines" w:linePitch="312" w:charSpace="0"/>
        </w:sectPr>
      </w:pPr>
      <w:r>
        <w:rPr>
          <w:rFonts w:cs="Times New Roman"/>
          <w:bCs/>
          <w:color w:val="auto"/>
          <w:sz w:val="36"/>
          <w:szCs w:val="40"/>
          <w:highlight w:val="none"/>
        </w:rPr>
        <w:fldChar w:fldCharType="end"/>
      </w:r>
    </w:p>
    <w:p>
      <w:pPr>
        <w:pStyle w:val="2"/>
        <w:rPr>
          <w:rFonts w:cs="Times New Roman"/>
          <w:color w:val="auto"/>
          <w:highlight w:val="none"/>
        </w:rPr>
      </w:pPr>
      <w:bookmarkStart w:id="1" w:name="_Toc31886"/>
      <w:r>
        <w:rPr>
          <w:rFonts w:cs="Times New Roman"/>
          <w:color w:val="auto"/>
          <w:highlight w:val="none"/>
        </w:rPr>
        <w:t>项目及项目区概况</w:t>
      </w:r>
      <w:bookmarkEnd w:id="1"/>
    </w:p>
    <w:p>
      <w:pPr>
        <w:pStyle w:val="3"/>
        <w:rPr>
          <w:rFonts w:cs="Times New Roman"/>
          <w:color w:val="auto"/>
          <w:highlight w:val="none"/>
        </w:rPr>
      </w:pPr>
      <w:bookmarkStart w:id="2" w:name="_Toc8468"/>
      <w:r>
        <w:rPr>
          <w:rFonts w:cs="Times New Roman"/>
          <w:color w:val="auto"/>
          <w:highlight w:val="none"/>
        </w:rPr>
        <w:t>项目概况</w:t>
      </w:r>
      <w:bookmarkEnd w:id="2"/>
    </w:p>
    <w:p>
      <w:pPr>
        <w:pStyle w:val="4"/>
        <w:rPr>
          <w:rFonts w:cs="Times New Roman"/>
          <w:color w:val="auto"/>
          <w:highlight w:val="none"/>
        </w:rPr>
      </w:pPr>
      <w:r>
        <w:rPr>
          <w:rFonts w:cs="Times New Roman"/>
          <w:color w:val="auto"/>
          <w:highlight w:val="none"/>
        </w:rPr>
        <w:t>地理位置</w:t>
      </w:r>
    </w:p>
    <w:p>
      <w:pPr>
        <w:spacing w:line="360" w:lineRule="auto"/>
        <w:ind w:firstLine="480" w:firstLineChars="200"/>
        <w:jc w:val="left"/>
        <w:rPr>
          <w:rFonts w:hint="eastAsia"/>
          <w:color w:val="auto"/>
          <w:sz w:val="24"/>
          <w:highlight w:val="none"/>
        </w:rPr>
      </w:pPr>
      <w:r>
        <w:rPr>
          <w:rFonts w:hint="eastAsia"/>
          <w:color w:val="auto"/>
          <w:sz w:val="24"/>
          <w:highlight w:val="none"/>
        </w:rPr>
        <w:t>本项目位于</w:t>
      </w:r>
      <w:r>
        <w:rPr>
          <w:color w:val="auto"/>
          <w:kern w:val="0"/>
          <w:sz w:val="24"/>
          <w:highlight w:val="none"/>
        </w:rPr>
        <w:t>天</w:t>
      </w:r>
      <w:r>
        <w:rPr>
          <w:color w:val="auto"/>
          <w:sz w:val="24"/>
          <w:highlight w:val="none"/>
        </w:rPr>
        <w:t>府新区新兴工业园</w:t>
      </w:r>
      <w:r>
        <w:rPr>
          <w:rFonts w:hint="eastAsia"/>
          <w:color w:val="auto"/>
          <w:sz w:val="24"/>
          <w:highlight w:val="none"/>
        </w:rPr>
        <w:t>，新兴街道红雀村，</w:t>
      </w:r>
      <w:r>
        <w:rPr>
          <w:color w:val="auto"/>
          <w:sz w:val="24"/>
          <w:highlight w:val="none"/>
        </w:rPr>
        <w:t>地处成都市东郊，位于双流县东部浅丘地区，东临</w:t>
      </w:r>
      <w:r>
        <w:rPr>
          <w:color w:val="auto"/>
          <w:sz w:val="24"/>
          <w:highlight w:val="none"/>
        </w:rPr>
        <w:fldChar w:fldCharType="begin"/>
      </w:r>
      <w:r>
        <w:rPr>
          <w:color w:val="auto"/>
          <w:sz w:val="24"/>
          <w:highlight w:val="none"/>
        </w:rPr>
        <w:instrText xml:space="preserve"> HYPERLINK "http://baike.baidu.com/view/234000.htm" \t "_blank" </w:instrText>
      </w:r>
      <w:r>
        <w:rPr>
          <w:color w:val="auto"/>
          <w:sz w:val="24"/>
          <w:highlight w:val="none"/>
        </w:rPr>
        <w:fldChar w:fldCharType="separate"/>
      </w:r>
      <w:r>
        <w:rPr>
          <w:color w:val="auto"/>
          <w:sz w:val="24"/>
          <w:highlight w:val="none"/>
        </w:rPr>
        <w:t>龙泉驿区</w:t>
      </w:r>
      <w:r>
        <w:rPr>
          <w:color w:val="auto"/>
          <w:sz w:val="24"/>
          <w:highlight w:val="none"/>
        </w:rPr>
        <w:fldChar w:fldCharType="end"/>
      </w:r>
      <w:r>
        <w:rPr>
          <w:color w:val="auto"/>
          <w:sz w:val="24"/>
          <w:highlight w:val="none"/>
        </w:rPr>
        <w:fldChar w:fldCharType="begin"/>
      </w:r>
      <w:r>
        <w:rPr>
          <w:color w:val="auto"/>
          <w:sz w:val="24"/>
          <w:highlight w:val="none"/>
        </w:rPr>
        <w:instrText xml:space="preserve"> HYPERLINK "http://baike.baidu.com/view/388787.htm" \t "_blank" </w:instrText>
      </w:r>
      <w:r>
        <w:rPr>
          <w:color w:val="auto"/>
          <w:sz w:val="24"/>
          <w:highlight w:val="none"/>
        </w:rPr>
        <w:fldChar w:fldCharType="separate"/>
      </w:r>
      <w:r>
        <w:rPr>
          <w:color w:val="auto"/>
          <w:sz w:val="24"/>
          <w:highlight w:val="none"/>
        </w:rPr>
        <w:t>柏合镇</w:t>
      </w:r>
      <w:r>
        <w:rPr>
          <w:color w:val="auto"/>
          <w:sz w:val="24"/>
          <w:highlight w:val="none"/>
        </w:rPr>
        <w:fldChar w:fldCharType="end"/>
      </w:r>
      <w:r>
        <w:rPr>
          <w:color w:val="auto"/>
          <w:sz w:val="24"/>
          <w:highlight w:val="none"/>
        </w:rPr>
        <w:t>，北靠</w:t>
      </w:r>
      <w:r>
        <w:rPr>
          <w:color w:val="auto"/>
          <w:sz w:val="24"/>
          <w:highlight w:val="none"/>
        </w:rPr>
        <w:fldChar w:fldCharType="begin"/>
      </w:r>
      <w:r>
        <w:rPr>
          <w:color w:val="auto"/>
          <w:sz w:val="24"/>
          <w:highlight w:val="none"/>
        </w:rPr>
        <w:instrText xml:space="preserve"> HYPERLINK "http://baike.baidu.com/view/480794.htm" \t "_blank" </w:instrText>
      </w:r>
      <w:r>
        <w:rPr>
          <w:color w:val="auto"/>
          <w:sz w:val="24"/>
          <w:highlight w:val="none"/>
        </w:rPr>
        <w:fldChar w:fldCharType="separate"/>
      </w:r>
      <w:r>
        <w:rPr>
          <w:color w:val="auto"/>
          <w:sz w:val="24"/>
          <w:highlight w:val="none"/>
        </w:rPr>
        <w:t>锦江区</w:t>
      </w:r>
      <w:r>
        <w:rPr>
          <w:color w:val="auto"/>
          <w:sz w:val="24"/>
          <w:highlight w:val="none"/>
        </w:rPr>
        <w:fldChar w:fldCharType="end"/>
      </w:r>
      <w:r>
        <w:rPr>
          <w:color w:val="auto"/>
          <w:sz w:val="24"/>
          <w:highlight w:val="none"/>
        </w:rPr>
        <w:fldChar w:fldCharType="begin"/>
      </w:r>
      <w:r>
        <w:rPr>
          <w:color w:val="auto"/>
          <w:sz w:val="24"/>
          <w:highlight w:val="none"/>
        </w:rPr>
        <w:instrText xml:space="preserve"> HYPERLINK "http://baike.baidu.com/subview/2303327/14419586.htm" \t "_blank" </w:instrText>
      </w:r>
      <w:r>
        <w:rPr>
          <w:color w:val="auto"/>
          <w:sz w:val="24"/>
          <w:highlight w:val="none"/>
        </w:rPr>
        <w:fldChar w:fldCharType="separate"/>
      </w:r>
      <w:r>
        <w:rPr>
          <w:color w:val="auto"/>
          <w:sz w:val="24"/>
          <w:highlight w:val="none"/>
        </w:rPr>
        <w:t>三圣街道</w:t>
      </w:r>
      <w:r>
        <w:rPr>
          <w:color w:val="auto"/>
          <w:sz w:val="24"/>
          <w:highlight w:val="none"/>
        </w:rPr>
        <w:fldChar w:fldCharType="end"/>
      </w:r>
      <w:r>
        <w:rPr>
          <w:color w:val="auto"/>
          <w:sz w:val="24"/>
          <w:highlight w:val="none"/>
        </w:rPr>
        <w:t>，西接高新区</w:t>
      </w:r>
      <w:r>
        <w:rPr>
          <w:color w:val="auto"/>
          <w:sz w:val="24"/>
          <w:highlight w:val="none"/>
        </w:rPr>
        <w:fldChar w:fldCharType="begin"/>
      </w:r>
      <w:r>
        <w:rPr>
          <w:color w:val="auto"/>
          <w:sz w:val="24"/>
          <w:highlight w:val="none"/>
        </w:rPr>
        <w:instrText xml:space="preserve"> HYPERLINK "http://baike.baidu.com/subview/2307634/15888411.htm" \t "_blank" </w:instrText>
      </w:r>
      <w:r>
        <w:rPr>
          <w:color w:val="auto"/>
          <w:sz w:val="24"/>
          <w:highlight w:val="none"/>
        </w:rPr>
        <w:fldChar w:fldCharType="separate"/>
      </w:r>
      <w:r>
        <w:rPr>
          <w:color w:val="auto"/>
          <w:sz w:val="24"/>
          <w:highlight w:val="none"/>
        </w:rPr>
        <w:t>中和街道</w:t>
      </w:r>
      <w:r>
        <w:rPr>
          <w:color w:val="auto"/>
          <w:sz w:val="24"/>
          <w:highlight w:val="none"/>
        </w:rPr>
        <w:fldChar w:fldCharType="end"/>
      </w:r>
      <w:r>
        <w:rPr>
          <w:color w:val="auto"/>
          <w:sz w:val="24"/>
          <w:highlight w:val="none"/>
        </w:rPr>
        <w:t>，南连本县</w:t>
      </w:r>
      <w:r>
        <w:rPr>
          <w:color w:val="auto"/>
          <w:sz w:val="24"/>
          <w:highlight w:val="none"/>
        </w:rPr>
        <w:fldChar w:fldCharType="begin"/>
      </w:r>
      <w:r>
        <w:rPr>
          <w:color w:val="auto"/>
          <w:sz w:val="24"/>
          <w:highlight w:val="none"/>
        </w:rPr>
        <w:instrText xml:space="preserve"> HYPERLINK "http://baike.baidu.com/subview/114077/5828353.htm" \t "_blank" </w:instrText>
      </w:r>
      <w:r>
        <w:rPr>
          <w:color w:val="auto"/>
          <w:sz w:val="24"/>
          <w:highlight w:val="none"/>
        </w:rPr>
        <w:fldChar w:fldCharType="separate"/>
      </w:r>
      <w:r>
        <w:rPr>
          <w:color w:val="auto"/>
          <w:sz w:val="24"/>
          <w:highlight w:val="none"/>
        </w:rPr>
        <w:t>白沙镇</w:t>
      </w:r>
      <w:r>
        <w:rPr>
          <w:color w:val="auto"/>
          <w:sz w:val="24"/>
          <w:highlight w:val="none"/>
        </w:rPr>
        <w:fldChar w:fldCharType="end"/>
      </w:r>
      <w:r>
        <w:rPr>
          <w:color w:val="auto"/>
          <w:sz w:val="24"/>
          <w:highlight w:val="none"/>
        </w:rPr>
        <w:t>、</w:t>
      </w:r>
      <w:r>
        <w:rPr>
          <w:color w:val="auto"/>
          <w:sz w:val="24"/>
          <w:highlight w:val="none"/>
        </w:rPr>
        <w:fldChar w:fldCharType="begin"/>
      </w:r>
      <w:r>
        <w:rPr>
          <w:color w:val="auto"/>
          <w:sz w:val="24"/>
          <w:highlight w:val="none"/>
        </w:rPr>
        <w:instrText xml:space="preserve"> HYPERLINK "http://baike.baidu.com/subview/343064/5819606.htm" \t "_blank" </w:instrText>
      </w:r>
      <w:r>
        <w:rPr>
          <w:color w:val="auto"/>
          <w:sz w:val="24"/>
          <w:highlight w:val="none"/>
        </w:rPr>
        <w:fldChar w:fldCharType="separate"/>
      </w:r>
      <w:r>
        <w:rPr>
          <w:color w:val="auto"/>
          <w:sz w:val="24"/>
          <w:highlight w:val="none"/>
        </w:rPr>
        <w:t>万安镇</w:t>
      </w:r>
      <w:r>
        <w:rPr>
          <w:color w:val="auto"/>
          <w:sz w:val="24"/>
          <w:highlight w:val="none"/>
        </w:rPr>
        <w:fldChar w:fldCharType="end"/>
      </w:r>
      <w:r>
        <w:rPr>
          <w:color w:val="auto"/>
          <w:sz w:val="24"/>
          <w:highlight w:val="none"/>
        </w:rPr>
        <w:t>，东北与</w:t>
      </w:r>
      <w:r>
        <w:rPr>
          <w:color w:val="auto"/>
          <w:sz w:val="24"/>
          <w:highlight w:val="none"/>
        </w:rPr>
        <w:fldChar w:fldCharType="begin"/>
      </w:r>
      <w:r>
        <w:rPr>
          <w:color w:val="auto"/>
          <w:sz w:val="24"/>
          <w:highlight w:val="none"/>
        </w:rPr>
        <w:instrText xml:space="preserve"> HYPERLINK "http://baike.baidu.com/view/234000.htm" \t "_blank" </w:instrText>
      </w:r>
      <w:r>
        <w:rPr>
          <w:color w:val="auto"/>
          <w:sz w:val="24"/>
          <w:highlight w:val="none"/>
        </w:rPr>
        <w:fldChar w:fldCharType="separate"/>
      </w:r>
      <w:r>
        <w:rPr>
          <w:color w:val="auto"/>
          <w:sz w:val="24"/>
          <w:highlight w:val="none"/>
        </w:rPr>
        <w:t>龙泉驿区</w:t>
      </w:r>
      <w:r>
        <w:rPr>
          <w:color w:val="auto"/>
          <w:sz w:val="24"/>
          <w:highlight w:val="none"/>
        </w:rPr>
        <w:fldChar w:fldCharType="end"/>
      </w:r>
      <w:r>
        <w:rPr>
          <w:color w:val="auto"/>
          <w:sz w:val="24"/>
          <w:highlight w:val="none"/>
        </w:rPr>
        <w:fldChar w:fldCharType="begin"/>
      </w:r>
      <w:r>
        <w:rPr>
          <w:color w:val="auto"/>
          <w:sz w:val="24"/>
          <w:highlight w:val="none"/>
        </w:rPr>
        <w:instrText xml:space="preserve"> HYPERLINK "http://baike.baidu.com/view/388866.htm" \t "_blank" </w:instrText>
      </w:r>
      <w:r>
        <w:rPr>
          <w:color w:val="auto"/>
          <w:sz w:val="24"/>
          <w:highlight w:val="none"/>
        </w:rPr>
        <w:fldChar w:fldCharType="separate"/>
      </w:r>
      <w:r>
        <w:rPr>
          <w:color w:val="auto"/>
          <w:sz w:val="24"/>
          <w:highlight w:val="none"/>
        </w:rPr>
        <w:t>大面镇</w:t>
      </w:r>
      <w:r>
        <w:rPr>
          <w:color w:val="auto"/>
          <w:sz w:val="24"/>
          <w:highlight w:val="none"/>
        </w:rPr>
        <w:fldChar w:fldCharType="end"/>
      </w:r>
      <w:r>
        <w:rPr>
          <w:color w:val="auto"/>
          <w:sz w:val="24"/>
          <w:highlight w:val="none"/>
        </w:rPr>
        <w:t>接壤。是华龙路、成仁路、外环路三角地带</w:t>
      </w:r>
      <w:r>
        <w:rPr>
          <w:rFonts w:hint="eastAsia"/>
          <w:color w:val="auto"/>
          <w:sz w:val="24"/>
          <w:highlight w:val="none"/>
        </w:rPr>
        <w:t>，地理位置十分优越。</w:t>
      </w:r>
    </w:p>
    <w:p>
      <w:pPr>
        <w:spacing w:line="360" w:lineRule="auto"/>
        <w:ind w:firstLine="480" w:firstLineChars="200"/>
        <w:jc w:val="left"/>
        <w:rPr>
          <w:color w:val="auto"/>
          <w:sz w:val="24"/>
          <w:highlight w:val="none"/>
        </w:rPr>
      </w:pPr>
      <w:r>
        <w:rPr>
          <w:color w:val="auto"/>
          <w:sz w:val="24"/>
          <w:highlight w:val="none"/>
        </w:rPr>
        <w:t>项目</w:t>
      </w:r>
      <w:r>
        <w:rPr>
          <w:rFonts w:hint="eastAsia"/>
          <w:color w:val="auto"/>
          <w:sz w:val="24"/>
          <w:highlight w:val="none"/>
        </w:rPr>
        <w:t>场区东北面</w:t>
      </w:r>
      <w:r>
        <w:rPr>
          <w:color w:val="auto"/>
          <w:sz w:val="24"/>
          <w:highlight w:val="none"/>
        </w:rPr>
        <w:t>紧靠</w:t>
      </w:r>
      <w:r>
        <w:rPr>
          <w:rFonts w:hint="eastAsia"/>
          <w:color w:val="auto"/>
          <w:sz w:val="24"/>
          <w:highlight w:val="none"/>
        </w:rPr>
        <w:t>园区三十号道路，北侧为园区货运通道</w:t>
      </w:r>
      <w:r>
        <w:rPr>
          <w:color w:val="auto"/>
          <w:sz w:val="24"/>
          <w:highlight w:val="none"/>
        </w:rPr>
        <w:t>，地理位置优越，交通便捷。</w:t>
      </w:r>
    </w:p>
    <w:p>
      <w:pPr>
        <w:jc w:val="center"/>
        <w:rPr>
          <w:color w:val="auto"/>
          <w:highlight w:val="none"/>
        </w:rPr>
      </w:pPr>
      <w:r>
        <w:rPr>
          <w:color w:val="auto"/>
          <w:sz w:val="24"/>
          <w:highlight w:val="none"/>
        </w:rPr>
        <mc:AlternateContent>
          <mc:Choice Requires="wps">
            <w:drawing>
              <wp:anchor distT="0" distB="0" distL="114300" distR="114300" simplePos="0" relativeHeight="251666432" behindDoc="0" locked="0" layoutInCell="1" allowOverlap="1">
                <wp:simplePos x="0" y="0"/>
                <wp:positionH relativeFrom="column">
                  <wp:posOffset>2006600</wp:posOffset>
                </wp:positionH>
                <wp:positionV relativeFrom="paragraph">
                  <wp:posOffset>784225</wp:posOffset>
                </wp:positionV>
                <wp:extent cx="956310" cy="970280"/>
                <wp:effectExtent l="3175" t="3175" r="12065" b="17145"/>
                <wp:wrapNone/>
                <wp:docPr id="5" name="直接箭头连接符 5"/>
                <wp:cNvGraphicFramePr/>
                <a:graphic xmlns:a="http://schemas.openxmlformats.org/drawingml/2006/main">
                  <a:graphicData uri="http://schemas.microsoft.com/office/word/2010/wordprocessingShape">
                    <wps:wsp>
                      <wps:cNvCnPr/>
                      <wps:spPr>
                        <a:xfrm>
                          <a:off x="0" y="0"/>
                          <a:ext cx="956310" cy="970280"/>
                        </a:xfrm>
                        <a:prstGeom prst="straightConnector1">
                          <a:avLst/>
                        </a:prstGeom>
                        <a:ln w="0"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58pt;margin-top:61.75pt;height:76.4pt;width:75.3pt;z-index:251666432;mso-width-relative:page;mso-height-relative:page;" filled="f" stroked="t" coordsize="21600,21600" o:gfxdata="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9tFWLtsAAAALAQAADwAAAAAAAAABACAAAAAiAAAAZHJzL2Rvd25yZXYueG1sUEsBAhQAFAAAAAgA&#10;h07iQPdI1FPpAQAAowMAAA4AAAAAAAAAAQAgAAAAKgEAAGRycy9lMm9Eb2MueG1sUEsFBgAAAAAG&#10;AAYAWQEAAIUFAAAAAA==&#10;">
                <v:fill on="f" focussize="0,0"/>
                <v:stroke weight="0pt" color="#000000" joinstyle="round" endarrow="block"/>
                <v:imagedata o:title=""/>
                <o:lock v:ext="edit" aspectratio="f"/>
              </v:shape>
            </w:pict>
          </mc:Fallback>
        </mc:AlternateContent>
      </w:r>
      <w:r>
        <w:rPr>
          <w:color w:val="auto"/>
          <w:sz w:val="24"/>
          <w:highlight w:val="none"/>
        </w:rPr>
        <mc:AlternateContent>
          <mc:Choice Requires="wps">
            <w:drawing>
              <wp:anchor distT="0" distB="0" distL="114300" distR="114300" simplePos="0" relativeHeight="251665408" behindDoc="0" locked="0" layoutInCell="1" allowOverlap="1">
                <wp:simplePos x="0" y="0"/>
                <wp:positionH relativeFrom="column">
                  <wp:posOffset>742950</wp:posOffset>
                </wp:positionH>
                <wp:positionV relativeFrom="paragraph">
                  <wp:posOffset>510540</wp:posOffset>
                </wp:positionV>
                <wp:extent cx="1263650" cy="1762760"/>
                <wp:effectExtent l="4445" t="4445" r="8255" b="23495"/>
                <wp:wrapNone/>
                <wp:docPr id="4" name="文本框 4"/>
                <wp:cNvGraphicFramePr/>
                <a:graphic xmlns:a="http://schemas.openxmlformats.org/drawingml/2006/main">
                  <a:graphicData uri="http://schemas.microsoft.com/office/word/2010/wordprocessingShape">
                    <wps:wsp>
                      <wps:cNvSpPr txBox="1"/>
                      <wps:spPr>
                        <a:xfrm>
                          <a:off x="0" y="0"/>
                          <a:ext cx="1263650" cy="1762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项目地块示意图</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58.5pt;margin-top:40.2pt;height:138.8pt;width:99.5pt;z-index:251665408;mso-width-relative:page;mso-height-relative:margin;mso-height-percent:200;" fillcolor="#FFFFFF" filled="t" stroked="t" coordsize="21600,21600" o:gfxdata="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ekBtYAAAAKAQAADwAAAAAAAAABACAAAAAiAAAAZHJzL2Rvd25yZXYu&#10;eG1sUEsBAhQAFAAAAAgAh07iQC0g6ln9AQAAAwQAAA4AAAAAAAAAAQAgAAAAJQEAAGRycy9lMm9E&#10;b2MueG1sUEsFBgAAAAAGAAYAWQEAAJQFAAAAAA==&#10;">
                <v:fill on="t" focussize="0,0"/>
                <v:stroke color="#000000" joinstyle="miter"/>
                <v:imagedata o:title=""/>
                <o:lock v:ext="edit" aspectratio="f"/>
                <v:textbox style="mso-fit-shape-to-text:t;">
                  <w:txbxContent>
                    <w:p>
                      <w:pPr>
                        <w:jc w:val="center"/>
                      </w:pPr>
                      <w:r>
                        <w:rPr>
                          <w:rFonts w:hint="eastAsia"/>
                        </w:rPr>
                        <w:t>项目地块示意图</w:t>
                      </w:r>
                    </w:p>
                  </w:txbxContent>
                </v:textbox>
              </v:shape>
            </w:pict>
          </mc:Fallback>
        </mc:AlternateContent>
      </w:r>
      <w:r>
        <w:rPr>
          <w:color w:val="auto"/>
          <w:sz w:val="24"/>
          <w:highlight w:val="none"/>
        </w:rPr>
        <w:drawing>
          <wp:inline distT="0" distB="0" distL="114300" distR="114300">
            <wp:extent cx="4067810" cy="4039235"/>
            <wp:effectExtent l="0" t="0" r="8890" b="18415"/>
            <wp:docPr id="3" name="图片 1" descr="QQ截图2016052611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QQ截图20160526111656"/>
                    <pic:cNvPicPr>
                      <a:picLocks noChangeAspect="1"/>
                    </pic:cNvPicPr>
                  </pic:nvPicPr>
                  <pic:blipFill>
                    <a:blip r:embed="rId14"/>
                    <a:stretch>
                      <a:fillRect/>
                    </a:stretch>
                  </pic:blipFill>
                  <pic:spPr>
                    <a:xfrm>
                      <a:off x="0" y="0"/>
                      <a:ext cx="4067810" cy="4039235"/>
                    </a:xfrm>
                    <a:prstGeom prst="rect">
                      <a:avLst/>
                    </a:prstGeom>
                    <a:noFill/>
                    <a:ln>
                      <a:noFill/>
                    </a:ln>
                  </pic:spPr>
                </pic:pic>
              </a:graphicData>
            </a:graphic>
          </wp:inline>
        </w:drawing>
      </w:r>
    </w:p>
    <w:p>
      <w:pPr>
        <w:ind w:firstLine="480"/>
        <w:jc w:val="center"/>
        <w:rPr>
          <w:rFonts w:hint="eastAsia" w:eastAsia="仿宋"/>
          <w:color w:val="auto"/>
          <w:highlight w:val="none"/>
          <w:lang w:eastAsia="zh-CN"/>
        </w:rPr>
      </w:pPr>
    </w:p>
    <w:p>
      <w:pPr>
        <w:pStyle w:val="15"/>
        <w:rPr>
          <w:color w:val="auto"/>
          <w:highlight w:val="none"/>
        </w:rPr>
      </w:pPr>
      <w:r>
        <w:rPr>
          <w:color w:val="auto"/>
          <w:highlight w:val="none"/>
        </w:rPr>
        <w:t>图</w:t>
      </w:r>
      <w:r>
        <w:rPr>
          <w:rFonts w:hint="eastAsia"/>
          <w:color w:val="auto"/>
          <w:highlight w:val="none"/>
        </w:rPr>
        <w:t>1</w:t>
      </w:r>
      <w:r>
        <w:rPr>
          <w:color w:val="auto"/>
          <w:highlight w:val="none"/>
        </w:rPr>
        <w:t>.1</w:t>
      </w:r>
      <w:r>
        <w:rPr>
          <w:color w:val="auto"/>
          <w:highlight w:val="none"/>
        </w:rPr>
        <w:noBreakHyphen/>
      </w:r>
      <w:r>
        <w:rPr>
          <w:color w:val="auto"/>
          <w:highlight w:val="none"/>
        </w:rPr>
        <w:t>1项目区位置示意图</w:t>
      </w:r>
    </w:p>
    <w:p>
      <w:pPr>
        <w:pStyle w:val="4"/>
        <w:rPr>
          <w:rFonts w:cs="Times New Roman"/>
          <w:color w:val="auto"/>
          <w:highlight w:val="none"/>
        </w:rPr>
      </w:pPr>
      <w:r>
        <w:rPr>
          <w:rFonts w:cs="Times New Roman"/>
          <w:color w:val="auto"/>
          <w:highlight w:val="none"/>
        </w:rPr>
        <w:t>主要技术指标</w:t>
      </w:r>
    </w:p>
    <w:p>
      <w:pPr>
        <w:numPr>
          <w:ilvl w:val="0"/>
          <w:numId w:val="2"/>
        </w:numPr>
        <w:ind w:left="0" w:firstLine="480"/>
        <w:rPr>
          <w:rFonts w:cs="Times New Roman"/>
          <w:color w:val="auto"/>
          <w:highlight w:val="none"/>
        </w:rPr>
      </w:pPr>
      <w:r>
        <w:rPr>
          <w:rFonts w:cs="Times New Roman"/>
          <w:color w:val="auto"/>
          <w:highlight w:val="none"/>
        </w:rPr>
        <w:t>项目名称：</w:t>
      </w:r>
      <w:r>
        <w:rPr>
          <w:rFonts w:hint="eastAsia" w:cs="Times New Roman"/>
          <w:color w:val="auto"/>
          <w:highlight w:val="none"/>
          <w:lang w:eastAsia="zh-CN"/>
        </w:rPr>
        <w:t>上海千缘汽车车身模具有限公司关于汽车零部件制造的项目</w:t>
      </w:r>
    </w:p>
    <w:p>
      <w:pPr>
        <w:numPr>
          <w:ilvl w:val="0"/>
          <w:numId w:val="2"/>
        </w:numPr>
        <w:ind w:left="0" w:firstLine="480"/>
        <w:rPr>
          <w:rFonts w:cs="Times New Roman"/>
          <w:color w:val="auto"/>
          <w:highlight w:val="none"/>
        </w:rPr>
      </w:pPr>
      <w:r>
        <w:rPr>
          <w:rFonts w:cs="Times New Roman"/>
          <w:color w:val="auto"/>
          <w:highlight w:val="none"/>
        </w:rPr>
        <w:t>建设单位：</w:t>
      </w:r>
      <w:r>
        <w:rPr>
          <w:rFonts w:hint="eastAsia" w:cs="Times New Roman"/>
          <w:color w:val="auto"/>
          <w:highlight w:val="none"/>
          <w:lang w:eastAsia="zh-CN"/>
        </w:rPr>
        <w:t>成都润嘉汽车部件有限公司</w:t>
      </w:r>
    </w:p>
    <w:p>
      <w:pPr>
        <w:numPr>
          <w:ilvl w:val="0"/>
          <w:numId w:val="2"/>
        </w:numPr>
        <w:ind w:left="0" w:firstLine="480"/>
        <w:rPr>
          <w:rFonts w:cs="Times New Roman"/>
          <w:color w:val="auto"/>
          <w:highlight w:val="none"/>
        </w:rPr>
      </w:pPr>
      <w:r>
        <w:rPr>
          <w:rFonts w:cs="Times New Roman"/>
          <w:color w:val="auto"/>
          <w:highlight w:val="none"/>
        </w:rPr>
        <w:t>建设地点：</w:t>
      </w:r>
      <w:r>
        <w:rPr>
          <w:rFonts w:hint="eastAsia" w:cs="Times New Roman"/>
          <w:color w:val="auto"/>
          <w:highlight w:val="none"/>
        </w:rPr>
        <w:t>天府新区新兴工业园</w:t>
      </w:r>
    </w:p>
    <w:p>
      <w:pPr>
        <w:numPr>
          <w:ilvl w:val="0"/>
          <w:numId w:val="2"/>
        </w:numPr>
        <w:ind w:left="0" w:firstLine="480"/>
        <w:rPr>
          <w:rFonts w:cs="Times New Roman"/>
          <w:color w:val="auto"/>
          <w:highlight w:val="none"/>
        </w:rPr>
      </w:pPr>
      <w:r>
        <w:rPr>
          <w:rFonts w:cs="Times New Roman"/>
          <w:color w:val="auto"/>
          <w:highlight w:val="none"/>
        </w:rPr>
        <w:t>建设性质：新建</w:t>
      </w:r>
    </w:p>
    <w:p>
      <w:pPr>
        <w:numPr>
          <w:ilvl w:val="0"/>
          <w:numId w:val="2"/>
        </w:numPr>
        <w:ind w:left="0" w:firstLine="480"/>
        <w:rPr>
          <w:rFonts w:cs="Times New Roman"/>
          <w:color w:val="auto"/>
          <w:highlight w:val="none"/>
        </w:rPr>
      </w:pPr>
      <w:r>
        <w:rPr>
          <w:rFonts w:cs="Times New Roman"/>
          <w:color w:val="auto"/>
          <w:highlight w:val="none"/>
        </w:rPr>
        <w:t>建设工期：</w:t>
      </w:r>
      <w:r>
        <w:rPr>
          <w:rFonts w:hint="eastAsia" w:cs="Times New Roman"/>
          <w:color w:val="auto"/>
          <w:highlight w:val="none"/>
        </w:rPr>
        <w:t>本项目</w:t>
      </w:r>
      <w:r>
        <w:rPr>
          <w:rFonts w:hint="eastAsia" w:cs="Times New Roman"/>
          <w:color w:val="auto"/>
          <w:highlight w:val="none"/>
          <w:lang w:val="en-US" w:eastAsia="zh-CN"/>
        </w:rPr>
        <w:t>于</w:t>
      </w:r>
      <w:r>
        <w:rPr>
          <w:rFonts w:hint="eastAsia" w:cs="Times New Roman"/>
          <w:color w:val="auto"/>
          <w:highlight w:val="none"/>
        </w:rPr>
        <w:t>开工时间为2016年9月，完工时间在2017年9月，共13个月</w:t>
      </w:r>
      <w:r>
        <w:rPr>
          <w:rFonts w:cs="Times New Roman"/>
          <w:color w:val="auto"/>
          <w:highlight w:val="none"/>
        </w:rPr>
        <w:t>。</w:t>
      </w:r>
    </w:p>
    <w:p>
      <w:pPr>
        <w:numPr>
          <w:ilvl w:val="0"/>
          <w:numId w:val="2"/>
        </w:numPr>
        <w:ind w:left="0" w:firstLine="480"/>
        <w:rPr>
          <w:rFonts w:cs="Times New Roman"/>
          <w:color w:val="auto"/>
          <w:highlight w:val="none"/>
        </w:rPr>
      </w:pPr>
      <w:r>
        <w:rPr>
          <w:rFonts w:cs="Times New Roman"/>
          <w:color w:val="auto"/>
          <w:highlight w:val="none"/>
        </w:rPr>
        <w:t>建设规模：</w:t>
      </w:r>
      <w:r>
        <w:rPr>
          <w:rFonts w:hint="eastAsia" w:cs="Times New Roman"/>
          <w:color w:val="auto"/>
          <w:highlight w:val="none"/>
        </w:rPr>
        <w:t>主要建设内容包括生产用房及配套设施，总建筑面积33188.21m</w:t>
      </w:r>
      <w:r>
        <w:rPr>
          <w:rFonts w:hint="eastAsia" w:cs="Times New Roman"/>
          <w:color w:val="auto"/>
          <w:highlight w:val="none"/>
          <w:vertAlign w:val="superscript"/>
        </w:rPr>
        <w:t>2</w:t>
      </w:r>
      <w:r>
        <w:rPr>
          <w:rFonts w:hint="eastAsia" w:cs="Times New Roman"/>
          <w:color w:val="auto"/>
          <w:highlight w:val="none"/>
        </w:rPr>
        <w:t>，其中地上建筑面积32225.80m</w:t>
      </w:r>
      <w:r>
        <w:rPr>
          <w:rFonts w:hint="eastAsia" w:cs="Times New Roman"/>
          <w:color w:val="auto"/>
          <w:highlight w:val="none"/>
          <w:vertAlign w:val="superscript"/>
        </w:rPr>
        <w:t>2</w:t>
      </w:r>
      <w:r>
        <w:rPr>
          <w:rFonts w:hint="eastAsia" w:cs="Times New Roman"/>
          <w:color w:val="auto"/>
          <w:highlight w:val="none"/>
        </w:rPr>
        <w:t>，地下建筑面积962.41m</w:t>
      </w:r>
      <w:r>
        <w:rPr>
          <w:rFonts w:hint="eastAsia" w:cs="Times New Roman"/>
          <w:color w:val="auto"/>
          <w:highlight w:val="none"/>
          <w:vertAlign w:val="superscript"/>
        </w:rPr>
        <w:t>2</w:t>
      </w:r>
      <w:r>
        <w:rPr>
          <w:rFonts w:hint="eastAsia" w:cs="Times New Roman"/>
          <w:color w:val="auto"/>
          <w:highlight w:val="none"/>
        </w:rPr>
        <w:t>。绿地面积2078.53m</w:t>
      </w:r>
      <w:r>
        <w:rPr>
          <w:rFonts w:hint="eastAsia" w:cs="Times New Roman"/>
          <w:color w:val="auto"/>
          <w:highlight w:val="none"/>
          <w:vertAlign w:val="superscript"/>
        </w:rPr>
        <w:t>2</w:t>
      </w:r>
      <w:r>
        <w:rPr>
          <w:rFonts w:hint="eastAsia" w:cs="Times New Roman"/>
          <w:color w:val="auto"/>
          <w:highlight w:val="none"/>
        </w:rPr>
        <w:t>，绿地率4.67%</w:t>
      </w:r>
      <w:r>
        <w:rPr>
          <w:rFonts w:hint="eastAsia"/>
          <w:color w:val="auto"/>
          <w:highlight w:val="none"/>
        </w:rPr>
        <w:t>。</w:t>
      </w:r>
    </w:p>
    <w:p>
      <w:pPr>
        <w:ind w:left="480" w:leftChars="200" w:firstLine="0" w:firstLineChars="0"/>
        <w:rPr>
          <w:color w:val="auto"/>
          <w:highlight w:val="none"/>
        </w:rPr>
      </w:pPr>
      <w:r>
        <w:rPr>
          <w:rFonts w:hint="eastAsia"/>
          <w:color w:val="auto"/>
          <w:highlight w:val="none"/>
        </w:rPr>
        <w:t>工程主要特性指标详见表1.1-1。</w:t>
      </w:r>
    </w:p>
    <w:p>
      <w:pPr>
        <w:pStyle w:val="15"/>
        <w:rPr>
          <w:rFonts w:hint="eastAsia"/>
          <w:color w:val="auto"/>
          <w:highlight w:val="none"/>
        </w:rPr>
      </w:pPr>
      <w:r>
        <w:rPr>
          <w:rFonts w:hint="eastAsia"/>
          <w:color w:val="auto"/>
          <w:highlight w:val="none"/>
        </w:rPr>
        <w:t>表1.1-1 工程主要特性指标表</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879"/>
        <w:gridCol w:w="1046"/>
        <w:gridCol w:w="342"/>
        <w:gridCol w:w="2640"/>
        <w:gridCol w:w="1443"/>
        <w:gridCol w:w="23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7"/>
            <w:tcBorders>
              <w:tl2br w:val="nil"/>
              <w:tr2bl w:val="nil"/>
            </w:tcBorders>
            <w:noWrap w:val="0"/>
            <w:vAlign w:val="center"/>
          </w:tcPr>
          <w:p>
            <w:pPr>
              <w:pStyle w:val="16"/>
              <w:bidi w:val="0"/>
              <w:rPr>
                <w:color w:val="auto"/>
                <w:highlight w:val="none"/>
              </w:rPr>
            </w:pPr>
            <w:r>
              <w:rPr>
                <w:color w:val="auto"/>
                <w:highlight w:val="none"/>
              </w:rPr>
              <w:t>一、项目的基本情况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序号</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项目情况</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1</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项目名称</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上海千缘汽车车身模具有限公司关于汽车零部件制造的项目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2</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建设地点</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天府新区新兴工业园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3</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建设单位</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成都润嘉汽车部件有限公司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4</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项目投资及其来源</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总投资24000万元，其中土建投资8430.37万元。资金来源为一是自有资金，二是银行贷款。其中自有资金占70%；银行贷款占4.67%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5</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工程性质</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6</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建设工期</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1</w:t>
            </w:r>
            <w:r>
              <w:rPr>
                <w:rFonts w:hint="eastAsia"/>
                <w:color w:val="auto"/>
                <w:highlight w:val="none"/>
                <w:lang w:val="en-US" w:eastAsia="zh-CN"/>
              </w:rPr>
              <w:t>3</w:t>
            </w:r>
            <w:r>
              <w:rPr>
                <w:color w:val="auto"/>
                <w:highlight w:val="none"/>
              </w:rPr>
              <w:t>个月（2016年</w:t>
            </w:r>
            <w:r>
              <w:rPr>
                <w:rFonts w:hint="eastAsia"/>
                <w:color w:val="auto"/>
                <w:highlight w:val="none"/>
                <w:lang w:val="en-US" w:eastAsia="zh-CN"/>
              </w:rPr>
              <w:t>9</w:t>
            </w:r>
            <w:r>
              <w:rPr>
                <w:color w:val="auto"/>
                <w:highlight w:val="none"/>
              </w:rPr>
              <w:t>月至2017年</w:t>
            </w:r>
            <w:r>
              <w:rPr>
                <w:rFonts w:hint="eastAsia"/>
                <w:color w:val="auto"/>
                <w:highlight w:val="none"/>
                <w:lang w:val="en-US" w:eastAsia="zh-CN"/>
              </w:rPr>
              <w:t>9</w:t>
            </w:r>
            <w:r>
              <w:rPr>
                <w:color w:val="auto"/>
                <w:highlight w:val="none"/>
              </w:rPr>
              <w:t>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7</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结构形式</w:t>
            </w:r>
          </w:p>
        </w:tc>
        <w:tc>
          <w:tcPr>
            <w:tcW w:w="3627" w:type="pct"/>
            <w:gridSpan w:val="4"/>
            <w:tcBorders>
              <w:tl2br w:val="nil"/>
              <w:tr2bl w:val="nil"/>
            </w:tcBorders>
            <w:noWrap w:val="0"/>
            <w:vAlign w:val="center"/>
          </w:tcPr>
          <w:p>
            <w:pPr>
              <w:pStyle w:val="16"/>
              <w:bidi w:val="0"/>
              <w:rPr>
                <w:color w:val="auto"/>
                <w:highlight w:val="none"/>
              </w:rPr>
            </w:pPr>
            <w:r>
              <w:rPr>
                <w:rFonts w:hint="eastAsia"/>
                <w:color w:val="auto"/>
                <w:highlight w:val="none"/>
              </w:rPr>
              <w:t>钢结构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8</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基础形式</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桩基础</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9</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结构设计使用年限</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50年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10</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抗震设防烈度</w:t>
            </w:r>
          </w:p>
        </w:tc>
        <w:tc>
          <w:tcPr>
            <w:tcW w:w="3627" w:type="pct"/>
            <w:gridSpan w:val="4"/>
            <w:tcBorders>
              <w:tl2br w:val="nil"/>
              <w:tr2bl w:val="nil"/>
            </w:tcBorders>
            <w:noWrap w:val="0"/>
            <w:vAlign w:val="center"/>
          </w:tcPr>
          <w:p>
            <w:pPr>
              <w:pStyle w:val="16"/>
              <w:bidi w:val="0"/>
              <w:rPr>
                <w:color w:val="auto"/>
                <w:highlight w:val="none"/>
              </w:rPr>
            </w:pPr>
            <w:r>
              <w:rPr>
                <w:rFonts w:hint="eastAsia"/>
                <w:color w:val="auto"/>
                <w:highlight w:val="none"/>
              </w:rPr>
              <w:t>Ⅶ</w:t>
            </w:r>
            <w:r>
              <w:rPr>
                <w:color w:val="auto"/>
                <w:highlight w:val="none"/>
              </w:rPr>
              <w:t>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11</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建筑耐火等级</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二级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12</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建筑结构安全等级</w:t>
            </w:r>
          </w:p>
        </w:tc>
        <w:tc>
          <w:tcPr>
            <w:tcW w:w="3627" w:type="pct"/>
            <w:gridSpan w:val="4"/>
            <w:tcBorders>
              <w:tl2br w:val="nil"/>
              <w:tr2bl w:val="nil"/>
            </w:tcBorders>
            <w:noWrap w:val="0"/>
            <w:vAlign w:val="center"/>
          </w:tcPr>
          <w:p>
            <w:pPr>
              <w:pStyle w:val="16"/>
              <w:bidi w:val="0"/>
              <w:rPr>
                <w:color w:val="auto"/>
                <w:highlight w:val="none"/>
              </w:rPr>
            </w:pPr>
            <w:r>
              <w:rPr>
                <w:color w:val="auto"/>
                <w:highlight w:val="none"/>
              </w:rPr>
              <w:t>二级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1</w:t>
            </w:r>
            <w:r>
              <w:rPr>
                <w:rFonts w:hint="eastAsia"/>
                <w:color w:val="auto"/>
                <w:highlight w:val="none"/>
              </w:rPr>
              <w:t>3</w:t>
            </w:r>
          </w:p>
        </w:tc>
        <w:tc>
          <w:tcPr>
            <w:tcW w:w="1036" w:type="pct"/>
            <w:gridSpan w:val="2"/>
            <w:tcBorders>
              <w:tl2br w:val="nil"/>
              <w:tr2bl w:val="nil"/>
            </w:tcBorders>
            <w:noWrap w:val="0"/>
            <w:vAlign w:val="center"/>
          </w:tcPr>
          <w:p>
            <w:pPr>
              <w:pStyle w:val="16"/>
              <w:bidi w:val="0"/>
              <w:rPr>
                <w:color w:val="auto"/>
                <w:highlight w:val="none"/>
              </w:rPr>
            </w:pPr>
            <w:r>
              <w:rPr>
                <w:color w:val="auto"/>
                <w:highlight w:val="none"/>
              </w:rPr>
              <w:t>用地性质</w:t>
            </w:r>
          </w:p>
        </w:tc>
        <w:tc>
          <w:tcPr>
            <w:tcW w:w="3627" w:type="pct"/>
            <w:gridSpan w:val="4"/>
            <w:tcBorders>
              <w:tl2br w:val="nil"/>
              <w:tr2bl w:val="nil"/>
            </w:tcBorders>
            <w:noWrap w:val="0"/>
            <w:vAlign w:val="center"/>
          </w:tcPr>
          <w:p>
            <w:pPr>
              <w:pStyle w:val="16"/>
              <w:bidi w:val="0"/>
              <w:rPr>
                <w:color w:val="auto"/>
                <w:highlight w:val="none"/>
              </w:rPr>
            </w:pPr>
            <w:r>
              <w:rPr>
                <w:rFonts w:hint="eastAsia"/>
                <w:color w:val="auto"/>
                <w:highlight w:val="none"/>
              </w:rPr>
              <w:t>工业</w:t>
            </w:r>
            <w:r>
              <w:rPr>
                <w:color w:val="auto"/>
                <w:highlight w:val="none"/>
              </w:rPr>
              <w:t>用地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7"/>
            <w:tcBorders>
              <w:tl2br w:val="nil"/>
              <w:tr2bl w:val="nil"/>
            </w:tcBorders>
            <w:noWrap w:val="0"/>
            <w:vAlign w:val="center"/>
          </w:tcPr>
          <w:p>
            <w:pPr>
              <w:pStyle w:val="16"/>
              <w:bidi w:val="0"/>
              <w:rPr>
                <w:color w:val="auto"/>
                <w:highlight w:val="none"/>
              </w:rPr>
            </w:pPr>
            <w:r>
              <w:rPr>
                <w:color w:val="auto"/>
                <w:highlight w:val="none"/>
              </w:rPr>
              <w:t>二、项目组成及主要技术指标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项　　　　目</w:t>
            </w:r>
          </w:p>
        </w:tc>
        <w:tc>
          <w:tcPr>
            <w:tcW w:w="1421" w:type="pct"/>
            <w:tcBorders>
              <w:tl2br w:val="nil"/>
              <w:tr2bl w:val="nil"/>
            </w:tcBorders>
            <w:noWrap w:val="0"/>
            <w:vAlign w:val="center"/>
          </w:tcPr>
          <w:p>
            <w:pPr>
              <w:pStyle w:val="16"/>
              <w:bidi w:val="0"/>
              <w:rPr>
                <w:color w:val="auto"/>
                <w:highlight w:val="none"/>
              </w:rPr>
            </w:pPr>
            <w:r>
              <w:rPr>
                <w:color w:val="auto"/>
                <w:highlight w:val="none"/>
              </w:rPr>
              <w:t>单  位</w:t>
            </w:r>
          </w:p>
        </w:tc>
        <w:tc>
          <w:tcPr>
            <w:tcW w:w="777" w:type="pct"/>
            <w:tcBorders>
              <w:tl2br w:val="nil"/>
              <w:tr2bl w:val="nil"/>
            </w:tcBorders>
            <w:noWrap w:val="0"/>
            <w:vAlign w:val="center"/>
          </w:tcPr>
          <w:p>
            <w:pPr>
              <w:pStyle w:val="16"/>
              <w:bidi w:val="0"/>
              <w:rPr>
                <w:color w:val="auto"/>
                <w:highlight w:val="none"/>
              </w:rPr>
            </w:pPr>
            <w:r>
              <w:rPr>
                <w:color w:val="auto"/>
                <w:highlight w:val="none"/>
              </w:rPr>
              <w:t>数  量</w:t>
            </w:r>
          </w:p>
        </w:tc>
        <w:tc>
          <w:tcPr>
            <w:tcW w:w="1244" w:type="pct"/>
            <w:tcBorders>
              <w:tl2br w:val="nil"/>
              <w:tr2bl w:val="nil"/>
            </w:tcBorders>
            <w:noWrap w:val="0"/>
            <w:vAlign w:val="center"/>
          </w:tcPr>
          <w:p>
            <w:pPr>
              <w:pStyle w:val="16"/>
              <w:bidi w:val="0"/>
              <w:rPr>
                <w:color w:val="auto"/>
                <w:highlight w:val="none"/>
              </w:rPr>
            </w:pPr>
            <w:r>
              <w:rPr>
                <w:color w:val="auto"/>
                <w:highlight w:val="none"/>
              </w:rPr>
              <w:t>备  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1</w:t>
            </w: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建设占地面积</w:t>
            </w:r>
          </w:p>
        </w:tc>
        <w:tc>
          <w:tcPr>
            <w:tcW w:w="1421" w:type="pct"/>
            <w:tcBorders>
              <w:tl2br w:val="nil"/>
              <w:tr2bl w:val="nil"/>
            </w:tcBorders>
            <w:noWrap w:val="0"/>
            <w:vAlign w:val="center"/>
          </w:tcPr>
          <w:p>
            <w:pPr>
              <w:pStyle w:val="16"/>
              <w:bidi w:val="0"/>
              <w:rPr>
                <w:color w:val="auto"/>
                <w:highlight w:val="none"/>
              </w:rPr>
            </w:pPr>
            <w:r>
              <w:rPr>
                <w:color w:val="auto"/>
                <w:highlight w:val="none"/>
              </w:rPr>
              <w:t>hm</w:t>
            </w:r>
            <w:r>
              <w:rPr>
                <w:color w:val="auto"/>
                <w:highlight w:val="none"/>
                <w:vertAlign w:val="superscript"/>
              </w:rPr>
              <w:t>2</w:t>
            </w:r>
          </w:p>
        </w:tc>
        <w:tc>
          <w:tcPr>
            <w:tcW w:w="777" w:type="pct"/>
            <w:tcBorders>
              <w:tl2br w:val="nil"/>
              <w:tr2bl w:val="nil"/>
            </w:tcBorders>
            <w:noWrap w:val="0"/>
            <w:vAlign w:val="center"/>
          </w:tcPr>
          <w:p>
            <w:pPr>
              <w:pStyle w:val="16"/>
              <w:bidi w:val="0"/>
              <w:rPr>
                <w:color w:val="auto"/>
                <w:highlight w:val="none"/>
              </w:rPr>
            </w:pPr>
            <w:r>
              <w:rPr>
                <w:color w:val="auto"/>
                <w:highlight w:val="none"/>
              </w:rPr>
              <w:t>4.45</w:t>
            </w:r>
          </w:p>
        </w:tc>
        <w:tc>
          <w:tcPr>
            <w:tcW w:w="1244" w:type="pct"/>
            <w:tcBorders>
              <w:tl2br w:val="nil"/>
              <w:tr2bl w:val="nil"/>
            </w:tcBorders>
            <w:noWrap w:val="0"/>
            <w:vAlign w:val="center"/>
          </w:tcPr>
          <w:p>
            <w:pPr>
              <w:pStyle w:val="16"/>
              <w:bidi w:val="0"/>
              <w:rPr>
                <w:color w:val="auto"/>
                <w:highlight w:val="none"/>
              </w:rPr>
            </w:pPr>
            <w:r>
              <w:rPr>
                <w:color w:val="auto"/>
                <w:highlight w:val="none"/>
              </w:rPr>
              <w:t>永久占地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2</w:t>
            </w: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建筑基底面积</w:t>
            </w:r>
          </w:p>
        </w:tc>
        <w:tc>
          <w:tcPr>
            <w:tcW w:w="1421" w:type="pct"/>
            <w:tcBorders>
              <w:tl2br w:val="nil"/>
              <w:tr2bl w:val="nil"/>
            </w:tcBorders>
            <w:noWrap w:val="0"/>
            <w:vAlign w:val="center"/>
          </w:tcPr>
          <w:p>
            <w:pPr>
              <w:pStyle w:val="16"/>
              <w:bidi w:val="0"/>
              <w:rPr>
                <w:color w:val="auto"/>
                <w:highlight w:val="none"/>
              </w:rPr>
            </w:pPr>
            <w:r>
              <w:rPr>
                <w:color w:val="auto"/>
                <w:highlight w:val="none"/>
              </w:rPr>
              <w:t>m</w:t>
            </w:r>
            <w:r>
              <w:rPr>
                <w:color w:val="auto"/>
                <w:highlight w:val="none"/>
                <w:vertAlign w:val="superscript"/>
              </w:rPr>
              <w:t>2</w:t>
            </w:r>
          </w:p>
        </w:tc>
        <w:tc>
          <w:tcPr>
            <w:tcW w:w="777" w:type="pct"/>
            <w:tcBorders>
              <w:tl2br w:val="nil"/>
              <w:tr2bl w:val="nil"/>
            </w:tcBorders>
            <w:noWrap w:val="0"/>
            <w:vAlign w:val="center"/>
          </w:tcPr>
          <w:p>
            <w:pPr>
              <w:pStyle w:val="16"/>
              <w:bidi w:val="0"/>
              <w:rPr>
                <w:color w:val="auto"/>
                <w:highlight w:val="none"/>
              </w:rPr>
            </w:pPr>
            <w:r>
              <w:rPr>
                <w:color w:val="auto"/>
                <w:highlight w:val="none"/>
              </w:rPr>
              <w:t>27702.60</w:t>
            </w:r>
          </w:p>
        </w:tc>
        <w:tc>
          <w:tcPr>
            <w:tcW w:w="1244" w:type="pct"/>
            <w:tcBorders>
              <w:tl2br w:val="nil"/>
              <w:tr2bl w:val="nil"/>
            </w:tcBorders>
            <w:noWrap w:val="0"/>
            <w:vAlign w:val="center"/>
          </w:tcPr>
          <w:p>
            <w:pPr>
              <w:pStyle w:val="16"/>
              <w:bidi w:val="0"/>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3</w:t>
            </w: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建筑面积</w:t>
            </w:r>
          </w:p>
        </w:tc>
        <w:tc>
          <w:tcPr>
            <w:tcW w:w="1421" w:type="pct"/>
            <w:tcBorders>
              <w:tl2br w:val="nil"/>
              <w:tr2bl w:val="nil"/>
            </w:tcBorders>
            <w:noWrap w:val="0"/>
            <w:vAlign w:val="center"/>
          </w:tcPr>
          <w:p>
            <w:pPr>
              <w:pStyle w:val="16"/>
              <w:bidi w:val="0"/>
              <w:rPr>
                <w:color w:val="auto"/>
                <w:highlight w:val="none"/>
              </w:rPr>
            </w:pPr>
            <w:r>
              <w:rPr>
                <w:color w:val="auto"/>
                <w:highlight w:val="none"/>
              </w:rPr>
              <w:t>m</w:t>
            </w:r>
            <w:r>
              <w:rPr>
                <w:color w:val="auto"/>
                <w:highlight w:val="none"/>
                <w:vertAlign w:val="superscript"/>
              </w:rPr>
              <w:t>2</w:t>
            </w:r>
          </w:p>
        </w:tc>
        <w:tc>
          <w:tcPr>
            <w:tcW w:w="777" w:type="pct"/>
            <w:tcBorders>
              <w:tl2br w:val="nil"/>
              <w:tr2bl w:val="nil"/>
            </w:tcBorders>
            <w:noWrap w:val="0"/>
            <w:vAlign w:val="center"/>
          </w:tcPr>
          <w:p>
            <w:pPr>
              <w:pStyle w:val="16"/>
              <w:bidi w:val="0"/>
              <w:rPr>
                <w:color w:val="auto"/>
                <w:highlight w:val="none"/>
              </w:rPr>
            </w:pPr>
            <w:r>
              <w:rPr>
                <w:color w:val="auto"/>
                <w:highlight w:val="none"/>
              </w:rPr>
              <w:t>33188.21</w:t>
            </w:r>
          </w:p>
        </w:tc>
        <w:tc>
          <w:tcPr>
            <w:tcW w:w="1244" w:type="pct"/>
            <w:tcBorders>
              <w:tl2br w:val="nil"/>
              <w:tr2bl w:val="nil"/>
            </w:tcBorders>
            <w:noWrap w:val="0"/>
            <w:vAlign w:val="center"/>
          </w:tcPr>
          <w:p>
            <w:pPr>
              <w:pStyle w:val="16"/>
              <w:bidi w:val="0"/>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3.1</w:t>
            </w: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地上建筑面积</w:t>
            </w:r>
          </w:p>
        </w:tc>
        <w:tc>
          <w:tcPr>
            <w:tcW w:w="1421" w:type="pct"/>
            <w:tcBorders>
              <w:tl2br w:val="nil"/>
              <w:tr2bl w:val="nil"/>
            </w:tcBorders>
            <w:noWrap w:val="0"/>
            <w:vAlign w:val="center"/>
          </w:tcPr>
          <w:p>
            <w:pPr>
              <w:pStyle w:val="16"/>
              <w:bidi w:val="0"/>
              <w:rPr>
                <w:color w:val="auto"/>
                <w:highlight w:val="none"/>
              </w:rPr>
            </w:pPr>
            <w:r>
              <w:rPr>
                <w:color w:val="auto"/>
                <w:highlight w:val="none"/>
              </w:rPr>
              <w:t>m</w:t>
            </w:r>
            <w:r>
              <w:rPr>
                <w:color w:val="auto"/>
                <w:highlight w:val="none"/>
                <w:vertAlign w:val="superscript"/>
              </w:rPr>
              <w:t>2</w:t>
            </w:r>
          </w:p>
        </w:tc>
        <w:tc>
          <w:tcPr>
            <w:tcW w:w="777" w:type="pct"/>
            <w:tcBorders>
              <w:tl2br w:val="nil"/>
              <w:tr2bl w:val="nil"/>
            </w:tcBorders>
            <w:noWrap w:val="0"/>
            <w:vAlign w:val="center"/>
          </w:tcPr>
          <w:p>
            <w:pPr>
              <w:pStyle w:val="16"/>
              <w:bidi w:val="0"/>
              <w:rPr>
                <w:color w:val="auto"/>
                <w:highlight w:val="none"/>
              </w:rPr>
            </w:pPr>
            <w:r>
              <w:rPr>
                <w:color w:val="auto"/>
                <w:highlight w:val="none"/>
              </w:rPr>
              <w:t>32225.80</w:t>
            </w:r>
          </w:p>
        </w:tc>
        <w:tc>
          <w:tcPr>
            <w:tcW w:w="1244" w:type="pct"/>
            <w:tcBorders>
              <w:tl2br w:val="nil"/>
              <w:tr2bl w:val="nil"/>
            </w:tcBorders>
            <w:noWrap w:val="0"/>
            <w:vAlign w:val="center"/>
          </w:tcPr>
          <w:p>
            <w:pPr>
              <w:pStyle w:val="16"/>
              <w:bidi w:val="0"/>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3.2</w:t>
            </w: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地下建筑面积</w:t>
            </w:r>
          </w:p>
        </w:tc>
        <w:tc>
          <w:tcPr>
            <w:tcW w:w="1421" w:type="pct"/>
            <w:tcBorders>
              <w:tl2br w:val="nil"/>
              <w:tr2bl w:val="nil"/>
            </w:tcBorders>
            <w:noWrap w:val="0"/>
            <w:vAlign w:val="center"/>
          </w:tcPr>
          <w:p>
            <w:pPr>
              <w:pStyle w:val="16"/>
              <w:bidi w:val="0"/>
              <w:rPr>
                <w:color w:val="auto"/>
                <w:highlight w:val="none"/>
              </w:rPr>
            </w:pPr>
            <w:r>
              <w:rPr>
                <w:color w:val="auto"/>
                <w:highlight w:val="none"/>
              </w:rPr>
              <w:t>m</w:t>
            </w:r>
            <w:r>
              <w:rPr>
                <w:color w:val="auto"/>
                <w:highlight w:val="none"/>
                <w:vertAlign w:val="superscript"/>
              </w:rPr>
              <w:t>2</w:t>
            </w:r>
          </w:p>
        </w:tc>
        <w:tc>
          <w:tcPr>
            <w:tcW w:w="777" w:type="pct"/>
            <w:tcBorders>
              <w:tl2br w:val="nil"/>
              <w:tr2bl w:val="nil"/>
            </w:tcBorders>
            <w:noWrap w:val="0"/>
            <w:vAlign w:val="center"/>
          </w:tcPr>
          <w:p>
            <w:pPr>
              <w:pStyle w:val="16"/>
              <w:bidi w:val="0"/>
              <w:rPr>
                <w:color w:val="auto"/>
                <w:highlight w:val="none"/>
              </w:rPr>
            </w:pPr>
            <w:r>
              <w:rPr>
                <w:color w:val="auto"/>
                <w:highlight w:val="none"/>
              </w:rPr>
              <w:t>962.41</w:t>
            </w:r>
          </w:p>
        </w:tc>
        <w:tc>
          <w:tcPr>
            <w:tcW w:w="1244" w:type="pct"/>
            <w:tcBorders>
              <w:tl2br w:val="nil"/>
              <w:tr2bl w:val="nil"/>
            </w:tcBorders>
            <w:noWrap w:val="0"/>
            <w:vAlign w:val="center"/>
          </w:tcPr>
          <w:p>
            <w:pPr>
              <w:pStyle w:val="16"/>
              <w:bidi w:val="0"/>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vMerge w:val="restart"/>
            <w:tcBorders>
              <w:tl2br w:val="nil"/>
              <w:tr2bl w:val="nil"/>
            </w:tcBorders>
            <w:noWrap w:val="0"/>
            <w:vAlign w:val="center"/>
          </w:tcPr>
          <w:p>
            <w:pPr>
              <w:pStyle w:val="16"/>
              <w:bidi w:val="0"/>
              <w:rPr>
                <w:color w:val="auto"/>
                <w:highlight w:val="none"/>
              </w:rPr>
            </w:pPr>
            <w:r>
              <w:rPr>
                <w:color w:val="auto"/>
                <w:highlight w:val="none"/>
              </w:rPr>
              <w:t>4</w:t>
            </w:r>
          </w:p>
        </w:tc>
        <w:tc>
          <w:tcPr>
            <w:tcW w:w="473" w:type="pct"/>
            <w:vMerge w:val="restart"/>
            <w:tcBorders>
              <w:tl2br w:val="nil"/>
              <w:tr2bl w:val="nil"/>
            </w:tcBorders>
            <w:noWrap w:val="0"/>
            <w:vAlign w:val="center"/>
          </w:tcPr>
          <w:p>
            <w:pPr>
              <w:pStyle w:val="16"/>
              <w:bidi w:val="0"/>
              <w:rPr>
                <w:color w:val="auto"/>
                <w:highlight w:val="none"/>
              </w:rPr>
            </w:pPr>
            <w:r>
              <w:rPr>
                <w:color w:val="auto"/>
                <w:highlight w:val="none"/>
              </w:rPr>
              <w:t>车位</w:t>
            </w:r>
          </w:p>
        </w:tc>
        <w:tc>
          <w:tcPr>
            <w:tcW w:w="747" w:type="pct"/>
            <w:gridSpan w:val="2"/>
            <w:tcBorders>
              <w:tl2br w:val="nil"/>
              <w:tr2bl w:val="nil"/>
            </w:tcBorders>
            <w:noWrap w:val="0"/>
            <w:vAlign w:val="center"/>
          </w:tcPr>
          <w:p>
            <w:pPr>
              <w:pStyle w:val="16"/>
              <w:bidi w:val="0"/>
              <w:rPr>
                <w:color w:val="auto"/>
                <w:highlight w:val="none"/>
              </w:rPr>
            </w:pPr>
            <w:r>
              <w:rPr>
                <w:rFonts w:hint="eastAsia"/>
                <w:color w:val="auto"/>
                <w:highlight w:val="none"/>
              </w:rPr>
              <w:t>机动车</w:t>
            </w:r>
          </w:p>
        </w:tc>
        <w:tc>
          <w:tcPr>
            <w:tcW w:w="1421" w:type="pct"/>
            <w:tcBorders>
              <w:tl2br w:val="nil"/>
              <w:tr2bl w:val="nil"/>
            </w:tcBorders>
            <w:noWrap w:val="0"/>
            <w:vAlign w:val="center"/>
          </w:tcPr>
          <w:p>
            <w:pPr>
              <w:pStyle w:val="16"/>
              <w:bidi w:val="0"/>
              <w:rPr>
                <w:color w:val="auto"/>
                <w:highlight w:val="none"/>
              </w:rPr>
            </w:pPr>
            <w:r>
              <w:rPr>
                <w:color w:val="auto"/>
                <w:highlight w:val="none"/>
              </w:rPr>
              <w:t>辆</w:t>
            </w:r>
          </w:p>
        </w:tc>
        <w:tc>
          <w:tcPr>
            <w:tcW w:w="777" w:type="pct"/>
            <w:tcBorders>
              <w:tl2br w:val="nil"/>
              <w:tr2bl w:val="nil"/>
            </w:tcBorders>
            <w:noWrap w:val="0"/>
            <w:vAlign w:val="center"/>
          </w:tcPr>
          <w:p>
            <w:pPr>
              <w:pStyle w:val="16"/>
              <w:bidi w:val="0"/>
              <w:rPr>
                <w:color w:val="auto"/>
                <w:highlight w:val="none"/>
              </w:rPr>
            </w:pPr>
            <w:r>
              <w:rPr>
                <w:rFonts w:hint="eastAsia"/>
                <w:color w:val="auto"/>
                <w:highlight w:val="none"/>
              </w:rPr>
              <w:t>90</w:t>
            </w:r>
          </w:p>
        </w:tc>
        <w:tc>
          <w:tcPr>
            <w:tcW w:w="1244" w:type="pct"/>
            <w:vMerge w:val="restart"/>
            <w:tcBorders>
              <w:tl2br w:val="nil"/>
              <w:tr2bl w:val="nil"/>
            </w:tcBorders>
            <w:noWrap w:val="0"/>
            <w:vAlign w:val="center"/>
          </w:tcPr>
          <w:p>
            <w:pPr>
              <w:pStyle w:val="16"/>
              <w:bidi w:val="0"/>
              <w:rPr>
                <w:color w:val="auto"/>
                <w:highlight w:val="none"/>
              </w:rPr>
            </w:pPr>
            <w:r>
              <w:rPr>
                <w:rFonts w:hint="eastAsia"/>
                <w:color w:val="auto"/>
                <w:highlight w:val="none"/>
              </w:rPr>
              <w:t>均为地面停车位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vMerge w:val="continue"/>
            <w:tcBorders>
              <w:tl2br w:val="nil"/>
              <w:tr2bl w:val="nil"/>
            </w:tcBorders>
            <w:noWrap w:val="0"/>
            <w:vAlign w:val="center"/>
          </w:tcPr>
          <w:p>
            <w:pPr>
              <w:pStyle w:val="16"/>
              <w:bidi w:val="0"/>
              <w:rPr>
                <w:color w:val="auto"/>
                <w:highlight w:val="none"/>
              </w:rPr>
            </w:pPr>
          </w:p>
        </w:tc>
        <w:tc>
          <w:tcPr>
            <w:tcW w:w="473" w:type="pct"/>
            <w:vMerge w:val="continue"/>
            <w:tcBorders>
              <w:tl2br w:val="nil"/>
              <w:tr2bl w:val="nil"/>
            </w:tcBorders>
            <w:noWrap w:val="0"/>
            <w:vAlign w:val="center"/>
          </w:tcPr>
          <w:p>
            <w:pPr>
              <w:pStyle w:val="16"/>
              <w:bidi w:val="0"/>
              <w:rPr>
                <w:color w:val="auto"/>
                <w:highlight w:val="none"/>
              </w:rPr>
            </w:pPr>
          </w:p>
        </w:tc>
        <w:tc>
          <w:tcPr>
            <w:tcW w:w="747" w:type="pct"/>
            <w:gridSpan w:val="2"/>
            <w:tcBorders>
              <w:tl2br w:val="nil"/>
              <w:tr2bl w:val="nil"/>
            </w:tcBorders>
            <w:noWrap w:val="0"/>
            <w:vAlign w:val="center"/>
          </w:tcPr>
          <w:p>
            <w:pPr>
              <w:pStyle w:val="16"/>
              <w:bidi w:val="0"/>
              <w:rPr>
                <w:color w:val="auto"/>
                <w:highlight w:val="none"/>
              </w:rPr>
            </w:pPr>
            <w:r>
              <w:rPr>
                <w:rFonts w:hint="eastAsia"/>
                <w:color w:val="auto"/>
                <w:highlight w:val="none"/>
              </w:rPr>
              <w:t>非机动车</w:t>
            </w:r>
          </w:p>
        </w:tc>
        <w:tc>
          <w:tcPr>
            <w:tcW w:w="1421" w:type="pct"/>
            <w:tcBorders>
              <w:tl2br w:val="nil"/>
              <w:tr2bl w:val="nil"/>
            </w:tcBorders>
            <w:noWrap w:val="0"/>
            <w:vAlign w:val="center"/>
          </w:tcPr>
          <w:p>
            <w:pPr>
              <w:pStyle w:val="16"/>
              <w:bidi w:val="0"/>
              <w:rPr>
                <w:color w:val="auto"/>
                <w:highlight w:val="none"/>
              </w:rPr>
            </w:pPr>
            <w:r>
              <w:rPr>
                <w:color w:val="auto"/>
                <w:highlight w:val="none"/>
              </w:rPr>
              <w:t>辆</w:t>
            </w:r>
          </w:p>
        </w:tc>
        <w:tc>
          <w:tcPr>
            <w:tcW w:w="777" w:type="pct"/>
            <w:tcBorders>
              <w:tl2br w:val="nil"/>
              <w:tr2bl w:val="nil"/>
            </w:tcBorders>
            <w:noWrap w:val="0"/>
            <w:vAlign w:val="center"/>
          </w:tcPr>
          <w:p>
            <w:pPr>
              <w:pStyle w:val="16"/>
              <w:bidi w:val="0"/>
              <w:rPr>
                <w:color w:val="auto"/>
                <w:highlight w:val="none"/>
              </w:rPr>
            </w:pPr>
            <w:r>
              <w:rPr>
                <w:rFonts w:hint="eastAsia"/>
                <w:color w:val="auto"/>
                <w:highlight w:val="none"/>
              </w:rPr>
              <w:t>42</w:t>
            </w:r>
          </w:p>
        </w:tc>
        <w:tc>
          <w:tcPr>
            <w:tcW w:w="1244" w:type="pct"/>
            <w:vMerge w:val="continue"/>
            <w:tcBorders>
              <w:tl2br w:val="nil"/>
              <w:tr2bl w:val="nil"/>
            </w:tcBorders>
            <w:noWrap w:val="0"/>
            <w:vAlign w:val="center"/>
          </w:tcPr>
          <w:p>
            <w:pPr>
              <w:pStyle w:val="16"/>
              <w:bidi w:val="0"/>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rFonts w:hint="eastAsia"/>
                <w:color w:val="auto"/>
                <w:highlight w:val="none"/>
              </w:rPr>
              <w:t>5</w:t>
            </w:r>
          </w:p>
        </w:tc>
        <w:tc>
          <w:tcPr>
            <w:tcW w:w="1220" w:type="pct"/>
            <w:gridSpan w:val="3"/>
            <w:tcBorders>
              <w:tl2br w:val="nil"/>
              <w:tr2bl w:val="nil"/>
            </w:tcBorders>
            <w:noWrap w:val="0"/>
            <w:vAlign w:val="center"/>
          </w:tcPr>
          <w:p>
            <w:pPr>
              <w:pStyle w:val="16"/>
              <w:bidi w:val="0"/>
              <w:rPr>
                <w:rFonts w:hint="eastAsia"/>
                <w:color w:val="auto"/>
                <w:highlight w:val="none"/>
              </w:rPr>
            </w:pPr>
            <w:r>
              <w:rPr>
                <w:rFonts w:hint="eastAsia"/>
                <w:color w:val="auto"/>
                <w:highlight w:val="none"/>
              </w:rPr>
              <w:t>绿地面积</w:t>
            </w:r>
          </w:p>
        </w:tc>
        <w:tc>
          <w:tcPr>
            <w:tcW w:w="1421" w:type="pct"/>
            <w:tcBorders>
              <w:tl2br w:val="nil"/>
              <w:tr2bl w:val="nil"/>
            </w:tcBorders>
            <w:noWrap w:val="0"/>
            <w:vAlign w:val="center"/>
          </w:tcPr>
          <w:p>
            <w:pPr>
              <w:pStyle w:val="16"/>
              <w:bidi w:val="0"/>
              <w:rPr>
                <w:color w:val="auto"/>
                <w:highlight w:val="none"/>
              </w:rPr>
            </w:pPr>
            <w:r>
              <w:rPr>
                <w:color w:val="auto"/>
                <w:highlight w:val="none"/>
              </w:rPr>
              <w:t>m</w:t>
            </w:r>
            <w:r>
              <w:rPr>
                <w:color w:val="auto"/>
                <w:highlight w:val="none"/>
                <w:vertAlign w:val="superscript"/>
              </w:rPr>
              <w:t>2</w:t>
            </w:r>
          </w:p>
        </w:tc>
        <w:tc>
          <w:tcPr>
            <w:tcW w:w="777" w:type="pct"/>
            <w:tcBorders>
              <w:tl2br w:val="nil"/>
              <w:tr2bl w:val="nil"/>
            </w:tcBorders>
            <w:noWrap w:val="0"/>
            <w:vAlign w:val="center"/>
          </w:tcPr>
          <w:p>
            <w:pPr>
              <w:pStyle w:val="16"/>
              <w:bidi w:val="0"/>
              <w:rPr>
                <w:rFonts w:hint="eastAsia"/>
                <w:color w:val="auto"/>
                <w:highlight w:val="none"/>
              </w:rPr>
            </w:pPr>
            <w:r>
              <w:rPr>
                <w:rFonts w:hint="eastAsia"/>
                <w:color w:val="auto"/>
                <w:highlight w:val="none"/>
              </w:rPr>
              <w:t>2078.53</w:t>
            </w:r>
          </w:p>
        </w:tc>
        <w:tc>
          <w:tcPr>
            <w:tcW w:w="1244" w:type="pct"/>
            <w:tcBorders>
              <w:tl2br w:val="nil"/>
              <w:tr2bl w:val="nil"/>
            </w:tcBorders>
            <w:noWrap w:val="0"/>
            <w:vAlign w:val="center"/>
          </w:tcPr>
          <w:p>
            <w:pPr>
              <w:pStyle w:val="16"/>
              <w:bidi w:val="0"/>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6</w:t>
            </w: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绿地率</w:t>
            </w:r>
          </w:p>
        </w:tc>
        <w:tc>
          <w:tcPr>
            <w:tcW w:w="1421" w:type="pct"/>
            <w:tcBorders>
              <w:tl2br w:val="nil"/>
              <w:tr2bl w:val="nil"/>
            </w:tcBorders>
            <w:noWrap w:val="0"/>
            <w:vAlign w:val="center"/>
          </w:tcPr>
          <w:p>
            <w:pPr>
              <w:pStyle w:val="16"/>
              <w:bidi w:val="0"/>
              <w:rPr>
                <w:color w:val="auto"/>
                <w:highlight w:val="none"/>
              </w:rPr>
            </w:pPr>
            <w:r>
              <w:rPr>
                <w:color w:val="auto"/>
                <w:highlight w:val="none"/>
              </w:rPr>
              <w:t>%</w:t>
            </w:r>
          </w:p>
        </w:tc>
        <w:tc>
          <w:tcPr>
            <w:tcW w:w="777" w:type="pct"/>
            <w:tcBorders>
              <w:tl2br w:val="nil"/>
              <w:tr2bl w:val="nil"/>
            </w:tcBorders>
            <w:noWrap w:val="0"/>
            <w:vAlign w:val="center"/>
          </w:tcPr>
          <w:p>
            <w:pPr>
              <w:pStyle w:val="16"/>
              <w:bidi w:val="0"/>
              <w:rPr>
                <w:color w:val="auto"/>
                <w:highlight w:val="none"/>
              </w:rPr>
            </w:pPr>
            <w:r>
              <w:rPr>
                <w:rFonts w:hint="eastAsia"/>
                <w:color w:val="auto"/>
                <w:highlight w:val="none"/>
              </w:rPr>
              <w:t>4.67</w:t>
            </w:r>
          </w:p>
        </w:tc>
        <w:tc>
          <w:tcPr>
            <w:tcW w:w="1244" w:type="pct"/>
            <w:tcBorders>
              <w:tl2br w:val="nil"/>
              <w:tr2bl w:val="nil"/>
            </w:tcBorders>
            <w:noWrap w:val="0"/>
            <w:vAlign w:val="center"/>
          </w:tcPr>
          <w:p>
            <w:pPr>
              <w:pStyle w:val="16"/>
              <w:bidi w:val="0"/>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7</w:t>
            </w: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建筑</w:t>
            </w:r>
            <w:r>
              <w:rPr>
                <w:rFonts w:hint="eastAsia"/>
                <w:color w:val="auto"/>
                <w:highlight w:val="none"/>
              </w:rPr>
              <w:t>系数</w:t>
            </w:r>
          </w:p>
        </w:tc>
        <w:tc>
          <w:tcPr>
            <w:tcW w:w="1421" w:type="pct"/>
            <w:tcBorders>
              <w:tl2br w:val="nil"/>
              <w:tr2bl w:val="nil"/>
            </w:tcBorders>
            <w:noWrap w:val="0"/>
            <w:vAlign w:val="center"/>
          </w:tcPr>
          <w:p>
            <w:pPr>
              <w:pStyle w:val="16"/>
              <w:bidi w:val="0"/>
              <w:rPr>
                <w:color w:val="auto"/>
                <w:highlight w:val="none"/>
              </w:rPr>
            </w:pPr>
            <w:r>
              <w:rPr>
                <w:color w:val="auto"/>
                <w:highlight w:val="none"/>
              </w:rPr>
              <w:t>%</w:t>
            </w:r>
          </w:p>
        </w:tc>
        <w:tc>
          <w:tcPr>
            <w:tcW w:w="777" w:type="pct"/>
            <w:tcBorders>
              <w:tl2br w:val="nil"/>
              <w:tr2bl w:val="nil"/>
            </w:tcBorders>
            <w:noWrap w:val="0"/>
            <w:vAlign w:val="center"/>
          </w:tcPr>
          <w:p>
            <w:pPr>
              <w:pStyle w:val="16"/>
              <w:bidi w:val="0"/>
              <w:rPr>
                <w:color w:val="auto"/>
                <w:highlight w:val="none"/>
              </w:rPr>
            </w:pPr>
            <w:r>
              <w:rPr>
                <w:rFonts w:hint="eastAsia"/>
                <w:color w:val="auto"/>
                <w:highlight w:val="none"/>
              </w:rPr>
              <w:t>62.28</w:t>
            </w:r>
          </w:p>
        </w:tc>
        <w:tc>
          <w:tcPr>
            <w:tcW w:w="1244" w:type="pct"/>
            <w:tcBorders>
              <w:tl2br w:val="nil"/>
              <w:tr2bl w:val="nil"/>
            </w:tcBorders>
            <w:noWrap w:val="0"/>
            <w:vAlign w:val="center"/>
          </w:tcPr>
          <w:p>
            <w:pPr>
              <w:pStyle w:val="16"/>
              <w:bidi w:val="0"/>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16"/>
              <w:bidi w:val="0"/>
              <w:rPr>
                <w:color w:val="auto"/>
                <w:highlight w:val="none"/>
              </w:rPr>
            </w:pPr>
            <w:r>
              <w:rPr>
                <w:color w:val="auto"/>
                <w:highlight w:val="none"/>
              </w:rPr>
              <w:t>8</w:t>
            </w:r>
          </w:p>
        </w:tc>
        <w:tc>
          <w:tcPr>
            <w:tcW w:w="1220" w:type="pct"/>
            <w:gridSpan w:val="3"/>
            <w:tcBorders>
              <w:tl2br w:val="nil"/>
              <w:tr2bl w:val="nil"/>
            </w:tcBorders>
            <w:noWrap w:val="0"/>
            <w:vAlign w:val="center"/>
          </w:tcPr>
          <w:p>
            <w:pPr>
              <w:pStyle w:val="16"/>
              <w:bidi w:val="0"/>
              <w:rPr>
                <w:color w:val="auto"/>
                <w:highlight w:val="none"/>
              </w:rPr>
            </w:pPr>
            <w:r>
              <w:rPr>
                <w:color w:val="auto"/>
                <w:highlight w:val="none"/>
              </w:rPr>
              <w:t>容积率</w:t>
            </w:r>
          </w:p>
        </w:tc>
        <w:tc>
          <w:tcPr>
            <w:tcW w:w="1421" w:type="pct"/>
            <w:tcBorders>
              <w:tl2br w:val="nil"/>
              <w:tr2bl w:val="nil"/>
            </w:tcBorders>
            <w:noWrap w:val="0"/>
            <w:vAlign w:val="center"/>
          </w:tcPr>
          <w:p>
            <w:pPr>
              <w:pStyle w:val="16"/>
              <w:bidi w:val="0"/>
              <w:rPr>
                <w:color w:val="auto"/>
                <w:highlight w:val="none"/>
              </w:rPr>
            </w:pPr>
          </w:p>
        </w:tc>
        <w:tc>
          <w:tcPr>
            <w:tcW w:w="777" w:type="pct"/>
            <w:tcBorders>
              <w:tl2br w:val="nil"/>
              <w:tr2bl w:val="nil"/>
            </w:tcBorders>
            <w:noWrap w:val="0"/>
            <w:vAlign w:val="center"/>
          </w:tcPr>
          <w:p>
            <w:pPr>
              <w:pStyle w:val="16"/>
              <w:bidi w:val="0"/>
              <w:rPr>
                <w:color w:val="auto"/>
                <w:highlight w:val="none"/>
              </w:rPr>
            </w:pPr>
            <w:r>
              <w:rPr>
                <w:rFonts w:hint="eastAsia"/>
                <w:color w:val="auto"/>
                <w:highlight w:val="none"/>
              </w:rPr>
              <w:t>1.27</w:t>
            </w:r>
          </w:p>
        </w:tc>
        <w:tc>
          <w:tcPr>
            <w:tcW w:w="1244" w:type="pct"/>
            <w:tcBorders>
              <w:tl2br w:val="nil"/>
              <w:tr2bl w:val="nil"/>
            </w:tcBorders>
            <w:noWrap w:val="0"/>
            <w:vAlign w:val="center"/>
          </w:tcPr>
          <w:p>
            <w:pPr>
              <w:pStyle w:val="16"/>
              <w:bidi w:val="0"/>
              <w:rPr>
                <w:color w:val="auto"/>
                <w:highlight w:val="none"/>
              </w:rPr>
            </w:pPr>
          </w:p>
        </w:tc>
      </w:tr>
    </w:tbl>
    <w:p>
      <w:pPr>
        <w:pStyle w:val="4"/>
        <w:rPr>
          <w:rFonts w:cs="Times New Roman"/>
          <w:color w:val="auto"/>
          <w:highlight w:val="none"/>
        </w:rPr>
      </w:pPr>
      <w:r>
        <w:rPr>
          <w:rFonts w:cs="Times New Roman"/>
          <w:color w:val="auto"/>
          <w:highlight w:val="none"/>
        </w:rPr>
        <w:t>项目投资</w:t>
      </w:r>
    </w:p>
    <w:p>
      <w:pPr>
        <w:ind w:firstLine="480"/>
        <w:rPr>
          <w:rFonts w:cs="Times New Roman"/>
          <w:color w:val="auto"/>
          <w:highlight w:val="none"/>
        </w:rPr>
      </w:pPr>
      <w:r>
        <w:rPr>
          <w:rFonts w:cs="Times New Roman"/>
          <w:color w:val="auto"/>
          <w:highlight w:val="none"/>
        </w:rPr>
        <w:t>本项目总投资为</w:t>
      </w:r>
      <w:r>
        <w:rPr>
          <w:rFonts w:hint="eastAsia" w:cs="Times New Roman"/>
          <w:color w:val="auto"/>
          <w:highlight w:val="none"/>
          <w:lang w:eastAsia="zh-CN"/>
        </w:rPr>
        <w:t>24000</w:t>
      </w:r>
      <w:r>
        <w:rPr>
          <w:rFonts w:hint="eastAsia" w:cs="Times New Roman"/>
          <w:color w:val="auto"/>
          <w:highlight w:val="none"/>
        </w:rPr>
        <w:t>万</w:t>
      </w:r>
      <w:r>
        <w:rPr>
          <w:rFonts w:cs="Times New Roman"/>
          <w:color w:val="auto"/>
          <w:highlight w:val="none"/>
        </w:rPr>
        <w:t>元，其中土建投资</w:t>
      </w:r>
      <w:r>
        <w:rPr>
          <w:rFonts w:hint="eastAsia" w:cs="Times New Roman"/>
          <w:color w:val="auto"/>
          <w:highlight w:val="none"/>
          <w:lang w:eastAsia="zh-CN"/>
        </w:rPr>
        <w:t>8430.37</w:t>
      </w:r>
      <w:r>
        <w:rPr>
          <w:rFonts w:hint="eastAsia" w:cs="Times New Roman"/>
          <w:color w:val="auto"/>
          <w:highlight w:val="none"/>
        </w:rPr>
        <w:t>万</w:t>
      </w:r>
      <w:r>
        <w:rPr>
          <w:rFonts w:cs="Times New Roman"/>
          <w:color w:val="auto"/>
          <w:highlight w:val="none"/>
        </w:rPr>
        <w:t>元，资金来源为</w:t>
      </w:r>
      <w:r>
        <w:rPr>
          <w:rFonts w:hint="eastAsia" w:cs="Times New Roman"/>
          <w:color w:val="auto"/>
          <w:highlight w:val="none"/>
        </w:rPr>
        <w:t>资本金及银行贷款的融资方式</w:t>
      </w:r>
      <w:r>
        <w:rPr>
          <w:rFonts w:cs="Times New Roman"/>
          <w:color w:val="auto"/>
          <w:highlight w:val="none"/>
        </w:rPr>
        <w:t>。</w:t>
      </w:r>
    </w:p>
    <w:p>
      <w:pPr>
        <w:pStyle w:val="4"/>
        <w:rPr>
          <w:rFonts w:cs="Times New Roman"/>
          <w:color w:val="auto"/>
          <w:highlight w:val="none"/>
        </w:rPr>
      </w:pPr>
      <w:r>
        <w:rPr>
          <w:rFonts w:cs="Times New Roman"/>
          <w:color w:val="auto"/>
          <w:highlight w:val="none"/>
        </w:rPr>
        <w:t>项目组成及布置</w:t>
      </w:r>
    </w:p>
    <w:p>
      <w:pPr>
        <w:pStyle w:val="5"/>
        <w:rPr>
          <w:rFonts w:cs="Times New Roman"/>
          <w:color w:val="auto"/>
          <w:highlight w:val="none"/>
        </w:rPr>
      </w:pPr>
      <w:r>
        <w:rPr>
          <w:rFonts w:cs="Times New Roman"/>
          <w:color w:val="auto"/>
          <w:highlight w:val="none"/>
        </w:rPr>
        <w:t>项目组成</w:t>
      </w:r>
    </w:p>
    <w:p>
      <w:pPr>
        <w:ind w:firstLine="480"/>
        <w:rPr>
          <w:rFonts w:cs="Times New Roman"/>
          <w:color w:val="auto"/>
          <w:highlight w:val="none"/>
        </w:rPr>
      </w:pPr>
      <w:r>
        <w:rPr>
          <w:rFonts w:hint="eastAsia" w:cs="Times New Roman"/>
          <w:color w:val="auto"/>
          <w:highlight w:val="none"/>
          <w:lang w:eastAsia="zh-CN"/>
        </w:rPr>
        <w:t>上海千缘汽车车身模具有限公司关于汽车零部件制造的项目</w:t>
      </w:r>
      <w:r>
        <w:rPr>
          <w:rFonts w:hint="eastAsia" w:cs="Times New Roman"/>
          <w:color w:val="auto"/>
          <w:highlight w:val="none"/>
        </w:rPr>
        <w:t>主要有建构筑物工程（包含地下建筑部分）、道路及硬化工程、绿化工程及附属工程等组成，项目组成</w:t>
      </w:r>
      <w:r>
        <w:rPr>
          <w:rFonts w:cs="Times New Roman"/>
          <w:color w:val="auto"/>
          <w:highlight w:val="none"/>
        </w:rPr>
        <w:t>表详见1.1-</w:t>
      </w:r>
      <w:r>
        <w:rPr>
          <w:rFonts w:hint="eastAsia" w:cs="Times New Roman"/>
          <w:color w:val="auto"/>
          <w:highlight w:val="none"/>
        </w:rPr>
        <w:t>2</w:t>
      </w:r>
      <w:r>
        <w:rPr>
          <w:rFonts w:cs="Times New Roman"/>
          <w:color w:val="auto"/>
          <w:highlight w:val="none"/>
        </w:rPr>
        <w:t>。</w:t>
      </w:r>
    </w:p>
    <w:p>
      <w:pPr>
        <w:rPr>
          <w:rFonts w:cs="Times New Roman"/>
          <w:color w:val="auto"/>
          <w:highlight w:val="none"/>
        </w:rPr>
      </w:pPr>
      <w:r>
        <w:rPr>
          <w:rFonts w:cs="Times New Roman"/>
          <w:color w:val="auto"/>
          <w:highlight w:val="none"/>
        </w:rPr>
        <w:br w:type="page"/>
      </w:r>
    </w:p>
    <w:p>
      <w:pPr>
        <w:pStyle w:val="6"/>
        <w:rPr>
          <w:rFonts w:cs="Times New Roman"/>
          <w:color w:val="auto"/>
          <w:highlight w:val="none"/>
        </w:rPr>
      </w:pPr>
      <w:r>
        <w:rPr>
          <w:rFonts w:cs="Times New Roman"/>
          <w:color w:val="auto"/>
          <w:highlight w:val="none"/>
        </w:rPr>
        <w:t xml:space="preserve">表 </w:t>
      </w:r>
      <w:r>
        <w:rPr>
          <w:rFonts w:cs="Times New Roman"/>
          <w:color w:val="auto"/>
          <w:highlight w:val="none"/>
        </w:rPr>
        <w:fldChar w:fldCharType="begin"/>
      </w:r>
      <w:r>
        <w:rPr>
          <w:rFonts w:cs="Times New Roman"/>
          <w:color w:val="auto"/>
          <w:highlight w:val="none"/>
        </w:rPr>
        <w:instrText xml:space="preserve"> STYLEREF 2 \s </w:instrText>
      </w:r>
      <w:r>
        <w:rPr>
          <w:rFonts w:cs="Times New Roman"/>
          <w:color w:val="auto"/>
          <w:highlight w:val="none"/>
        </w:rPr>
        <w:fldChar w:fldCharType="separate"/>
      </w:r>
      <w:r>
        <w:rPr>
          <w:rFonts w:cs="Times New Roman"/>
          <w:color w:val="auto"/>
          <w:highlight w:val="none"/>
        </w:rPr>
        <w:t>1.1</w:t>
      </w:r>
      <w:r>
        <w:rPr>
          <w:rFonts w:cs="Times New Roman"/>
          <w:color w:val="auto"/>
          <w:highlight w:val="none"/>
        </w:rPr>
        <w:fldChar w:fldCharType="end"/>
      </w:r>
      <w:r>
        <w:rPr>
          <w:rFonts w:cs="Times New Roman"/>
          <w:color w:val="auto"/>
          <w:highlight w:val="none"/>
        </w:rPr>
        <w:noBreakHyphen/>
      </w:r>
      <w:r>
        <w:rPr>
          <w:rFonts w:hint="eastAsia" w:cs="Times New Roman"/>
          <w:color w:val="auto"/>
          <w:highlight w:val="none"/>
        </w:rPr>
        <w:t>2</w:t>
      </w:r>
      <w:r>
        <w:rPr>
          <w:rFonts w:cs="Times New Roman"/>
          <w:color w:val="auto"/>
          <w:highlight w:val="none"/>
        </w:rPr>
        <w:t>项目组成表</w:t>
      </w:r>
    </w:p>
    <w:tbl>
      <w:tblPr>
        <w:tblStyle w:val="11"/>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526"/>
        <w:gridCol w:w="3886"/>
        <w:gridCol w:w="3904"/>
        <w:gridCol w:w="78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5" w:hRule="atLeast"/>
          <w:jc w:val="center"/>
        </w:trPr>
        <w:tc>
          <w:tcPr>
            <w:tcW w:w="289"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项目</w:t>
            </w:r>
          </w:p>
        </w:tc>
        <w:tc>
          <w:tcPr>
            <w:tcW w:w="2135" w:type="pct"/>
            <w:tcBorders>
              <w:tl2br w:val="nil"/>
              <w:tr2bl w:val="nil"/>
            </w:tcBorders>
            <w:shd w:val="clear" w:color="auto" w:fill="auto"/>
            <w:tcMar>
              <w:top w:w="15" w:type="dxa"/>
              <w:left w:w="15" w:type="dxa"/>
              <w:right w:w="15" w:type="dxa"/>
            </w:tcMar>
            <w:vAlign w:val="center"/>
          </w:tcPr>
          <w:p>
            <w:pPr>
              <w:pStyle w:val="16"/>
              <w:bidi w:val="0"/>
              <w:jc w:val="center"/>
              <w:rPr>
                <w:color w:val="auto"/>
                <w:highlight w:val="none"/>
              </w:rPr>
            </w:pPr>
            <w:r>
              <w:rPr>
                <w:rFonts w:hint="eastAsia"/>
                <w:color w:val="auto"/>
                <w:highlight w:val="none"/>
                <w:lang w:val="en-US" w:eastAsia="zh-CN"/>
              </w:rPr>
              <w:t>设计阶段</w:t>
            </w:r>
          </w:p>
        </w:tc>
        <w:tc>
          <w:tcPr>
            <w:tcW w:w="214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验收阶段</w:t>
            </w:r>
          </w:p>
        </w:tc>
        <w:tc>
          <w:tcPr>
            <w:tcW w:w="429"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变化情况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55" w:hRule="atLeast"/>
          <w:jc w:val="center"/>
        </w:trPr>
        <w:tc>
          <w:tcPr>
            <w:tcW w:w="289"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建构筑物工程</w:t>
            </w:r>
          </w:p>
        </w:tc>
        <w:tc>
          <w:tcPr>
            <w:tcW w:w="213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建构筑物工程包括生产用房、辅助用房及地下建筑，总建筑面积33222.37m</w:t>
            </w:r>
            <w:r>
              <w:rPr>
                <w:rFonts w:hint="eastAsia"/>
                <w:color w:val="auto"/>
                <w:highlight w:val="none"/>
                <w:vertAlign w:val="superscript"/>
                <w:lang w:val="en-US" w:eastAsia="zh-CN"/>
              </w:rPr>
              <w:t>2</w:t>
            </w:r>
            <w:r>
              <w:rPr>
                <w:rFonts w:hint="eastAsia"/>
                <w:color w:val="auto"/>
                <w:highlight w:val="none"/>
                <w:lang w:val="en-US" w:eastAsia="zh-CN"/>
              </w:rPr>
              <w:t>（其中地下建筑面积962.41m</w:t>
            </w:r>
            <w:r>
              <w:rPr>
                <w:rFonts w:hint="eastAsia"/>
                <w:color w:val="auto"/>
                <w:highlight w:val="none"/>
                <w:vertAlign w:val="superscript"/>
                <w:lang w:val="en-US" w:eastAsia="zh-CN"/>
              </w:rPr>
              <w:t>2</w:t>
            </w:r>
            <w:r>
              <w:rPr>
                <w:rFonts w:hint="eastAsia"/>
                <w:color w:val="auto"/>
                <w:highlight w:val="none"/>
                <w:lang w:val="en-US" w:eastAsia="zh-CN"/>
              </w:rPr>
              <w:t>），综合容积率为1.27，建筑密度62.28%。其中生产车间采用多层工业厂房，结构形式为钢结构，包括了8座车间（含两座辅车间）；辅助用房则包括办公场所、配电室、门卫等，为框架结构，2F~3F；地下总建筑面积为962.41m</w:t>
            </w:r>
            <w:r>
              <w:rPr>
                <w:rFonts w:hint="eastAsia"/>
                <w:color w:val="auto"/>
                <w:highlight w:val="none"/>
                <w:vertAlign w:val="superscript"/>
                <w:lang w:val="en-US" w:eastAsia="zh-CN"/>
              </w:rPr>
              <w:t>2</w:t>
            </w:r>
            <w:r>
              <w:rPr>
                <w:rFonts w:hint="eastAsia"/>
                <w:color w:val="auto"/>
                <w:highlight w:val="none"/>
                <w:lang w:val="en-US" w:eastAsia="zh-CN"/>
              </w:rPr>
              <w:t>，包括地下蓄水池、消防水池、泵房及发电机房等，泵房及放电机房层高3m，蓄水池及消防水池深2m</w:t>
            </w:r>
          </w:p>
        </w:tc>
        <w:tc>
          <w:tcPr>
            <w:tcW w:w="214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建构筑物工程包括生产用房、辅助用房及地下建筑，总建筑面积33222.37m</w:t>
            </w:r>
            <w:r>
              <w:rPr>
                <w:rFonts w:hint="eastAsia"/>
                <w:color w:val="auto"/>
                <w:highlight w:val="none"/>
                <w:vertAlign w:val="superscript"/>
                <w:lang w:val="en-US" w:eastAsia="zh-CN"/>
              </w:rPr>
              <w:t>2</w:t>
            </w:r>
            <w:r>
              <w:rPr>
                <w:rFonts w:hint="eastAsia"/>
                <w:color w:val="auto"/>
                <w:highlight w:val="none"/>
                <w:lang w:val="en-US" w:eastAsia="zh-CN"/>
              </w:rPr>
              <w:t>（其中地下建筑面积962.41m</w:t>
            </w:r>
            <w:r>
              <w:rPr>
                <w:rFonts w:hint="eastAsia"/>
                <w:color w:val="auto"/>
                <w:highlight w:val="none"/>
                <w:vertAlign w:val="superscript"/>
                <w:lang w:val="en-US" w:eastAsia="zh-CN"/>
              </w:rPr>
              <w:t>2</w:t>
            </w:r>
            <w:r>
              <w:rPr>
                <w:rFonts w:hint="eastAsia"/>
                <w:color w:val="auto"/>
                <w:highlight w:val="none"/>
                <w:lang w:val="en-US" w:eastAsia="zh-CN"/>
              </w:rPr>
              <w:t>），综合容积率为1.27，建筑密度62.28%。其中生产车间采用多层工业厂房，结构形式为钢结构，包括了8座车间（含两座辅车间）；辅助用房则包括办公场所、配电室、门卫等，为框架结构，2F~3F；地下总建筑面积为962.41m</w:t>
            </w:r>
            <w:r>
              <w:rPr>
                <w:rFonts w:hint="eastAsia"/>
                <w:color w:val="auto"/>
                <w:highlight w:val="none"/>
                <w:vertAlign w:val="superscript"/>
                <w:lang w:val="en-US" w:eastAsia="zh-CN"/>
              </w:rPr>
              <w:t>2</w:t>
            </w:r>
            <w:r>
              <w:rPr>
                <w:rFonts w:hint="eastAsia"/>
                <w:color w:val="auto"/>
                <w:highlight w:val="none"/>
                <w:lang w:val="en-US" w:eastAsia="zh-CN"/>
              </w:rPr>
              <w:t>，包括地下蓄水池、消防水池、泵房及发电机房等，泵房及放电机房层高3m，蓄水池及消防水池深2m</w:t>
            </w:r>
          </w:p>
        </w:tc>
        <w:tc>
          <w:tcPr>
            <w:tcW w:w="429"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基本</w:t>
            </w:r>
            <w:r>
              <w:rPr>
                <w:color w:val="auto"/>
                <w:highlight w:val="none"/>
                <w:lang w:val="en-US" w:eastAsia="zh-CN"/>
              </w:rPr>
              <w:t>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365" w:hRule="atLeast"/>
          <w:jc w:val="center"/>
        </w:trPr>
        <w:tc>
          <w:tcPr>
            <w:tcW w:w="289"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道路及硬化工程</w:t>
            </w:r>
          </w:p>
        </w:tc>
        <w:tc>
          <w:tcPr>
            <w:tcW w:w="213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项目道路及硬化工程总面积14696.12m</w:t>
            </w:r>
            <w:r>
              <w:rPr>
                <w:rFonts w:hint="eastAsia"/>
                <w:color w:val="auto"/>
                <w:highlight w:val="none"/>
                <w:vertAlign w:val="superscript"/>
                <w:lang w:val="en-US" w:eastAsia="zh-CN"/>
              </w:rPr>
              <w:t>2</w:t>
            </w:r>
            <w:r>
              <w:rPr>
                <w:rFonts w:hint="eastAsia"/>
                <w:color w:val="auto"/>
                <w:highlight w:val="none"/>
                <w:lang w:val="en-US" w:eastAsia="zh-CN"/>
              </w:rPr>
              <w:t>，包括厂区道路、地面硬化及停车场等。</w:t>
            </w:r>
            <w:r>
              <w:rPr>
                <w:rFonts w:hint="eastAsia"/>
                <w:color w:val="auto"/>
                <w:highlight w:val="none"/>
                <w:lang w:val="en-US" w:eastAsia="zh-CN"/>
              </w:rPr>
              <w:br w:type="textWrapping"/>
            </w:r>
            <w:r>
              <w:rPr>
                <w:rFonts w:hint="eastAsia"/>
                <w:color w:val="auto"/>
                <w:highlight w:val="none"/>
                <w:lang w:val="en-US" w:eastAsia="zh-CN"/>
              </w:rPr>
              <w:t>厂区道路宽位4m、6m及8m，采用城市型混凝土路面，道路环形布置和横向布置相结合，道路长约300m。此外在到路交汇处设置回车场，回车半径12m。道路主要供人行、车辆行驶，兼作消防车道使用。</w:t>
            </w:r>
          </w:p>
        </w:tc>
        <w:tc>
          <w:tcPr>
            <w:tcW w:w="214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项目道路及硬化工程总面积14696.12m</w:t>
            </w:r>
            <w:r>
              <w:rPr>
                <w:rFonts w:hint="eastAsia"/>
                <w:color w:val="auto"/>
                <w:highlight w:val="none"/>
                <w:vertAlign w:val="superscript"/>
                <w:lang w:val="en-US" w:eastAsia="zh-CN"/>
              </w:rPr>
              <w:t>2</w:t>
            </w:r>
            <w:r>
              <w:rPr>
                <w:rFonts w:hint="eastAsia"/>
                <w:color w:val="auto"/>
                <w:highlight w:val="none"/>
                <w:lang w:val="en-US" w:eastAsia="zh-CN"/>
              </w:rPr>
              <w:t>，包括厂区道路、地面硬化及停车场等。</w:t>
            </w:r>
            <w:r>
              <w:rPr>
                <w:rFonts w:hint="eastAsia"/>
                <w:color w:val="auto"/>
                <w:highlight w:val="none"/>
                <w:lang w:val="en-US" w:eastAsia="zh-CN"/>
              </w:rPr>
              <w:br w:type="textWrapping"/>
            </w:r>
            <w:r>
              <w:rPr>
                <w:rFonts w:hint="eastAsia"/>
                <w:color w:val="auto"/>
                <w:highlight w:val="none"/>
                <w:lang w:val="en-US" w:eastAsia="zh-CN"/>
              </w:rPr>
              <w:t>厂区道路宽位4m、6m及8m，采用城市型混凝土路面，道路环形布置和横向布置相结合，道路长约300m。此外在到路交汇处设置回车场，回车半径12m。道路主要供人行、车辆行驶，兼作消防车道使用。</w:t>
            </w:r>
          </w:p>
        </w:tc>
        <w:tc>
          <w:tcPr>
            <w:tcW w:w="429"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基本</w:t>
            </w:r>
            <w:r>
              <w:rPr>
                <w:color w:val="auto"/>
                <w:highlight w:val="none"/>
                <w:lang w:val="en-US" w:eastAsia="zh-CN"/>
              </w:rPr>
              <w:t>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815" w:hRule="atLeast"/>
          <w:jc w:val="center"/>
        </w:trPr>
        <w:tc>
          <w:tcPr>
            <w:tcW w:w="289"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绿化工程</w:t>
            </w:r>
          </w:p>
        </w:tc>
        <w:tc>
          <w:tcPr>
            <w:tcW w:w="213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本项目绿地面积2078.53m</w:t>
            </w:r>
            <w:r>
              <w:rPr>
                <w:rFonts w:hint="eastAsia"/>
                <w:color w:val="auto"/>
                <w:highlight w:val="none"/>
                <w:vertAlign w:val="superscript"/>
                <w:lang w:val="en-US" w:eastAsia="zh-CN"/>
              </w:rPr>
              <w:t>2</w:t>
            </w:r>
            <w:r>
              <w:rPr>
                <w:rFonts w:hint="eastAsia"/>
                <w:color w:val="auto"/>
                <w:highlight w:val="none"/>
                <w:lang w:val="en-US" w:eastAsia="zh-CN"/>
              </w:rPr>
              <w:t>，绿地率4.67%，采用乔、灌、草相结合的绿化方式。</w:t>
            </w:r>
          </w:p>
        </w:tc>
        <w:tc>
          <w:tcPr>
            <w:tcW w:w="214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本项目绿地面积2078.53m</w:t>
            </w:r>
            <w:r>
              <w:rPr>
                <w:rFonts w:hint="eastAsia"/>
                <w:color w:val="auto"/>
                <w:highlight w:val="none"/>
                <w:vertAlign w:val="superscript"/>
                <w:lang w:val="en-US" w:eastAsia="zh-CN"/>
              </w:rPr>
              <w:t>2</w:t>
            </w:r>
            <w:r>
              <w:rPr>
                <w:rFonts w:hint="eastAsia"/>
                <w:color w:val="auto"/>
                <w:highlight w:val="none"/>
                <w:lang w:val="en-US" w:eastAsia="zh-CN"/>
              </w:rPr>
              <w:t>，绿地率4.67%，采用乔、灌、草相结合的绿化方式。</w:t>
            </w:r>
          </w:p>
        </w:tc>
        <w:tc>
          <w:tcPr>
            <w:tcW w:w="429"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基本</w:t>
            </w:r>
            <w:r>
              <w:rPr>
                <w:color w:val="auto"/>
                <w:highlight w:val="none"/>
                <w:lang w:val="en-US" w:eastAsia="zh-CN"/>
              </w:rPr>
              <w:t>无变化</w:t>
            </w:r>
          </w:p>
        </w:tc>
      </w:tr>
    </w:tbl>
    <w:p>
      <w:pPr>
        <w:pStyle w:val="5"/>
        <w:bidi w:val="0"/>
        <w:rPr>
          <w:rFonts w:hint="eastAsia"/>
          <w:color w:val="auto"/>
          <w:highlight w:val="none"/>
          <w:lang w:val="en-US" w:eastAsia="zh-CN"/>
        </w:rPr>
      </w:pPr>
      <w:r>
        <w:rPr>
          <w:rFonts w:hint="eastAsia"/>
          <w:color w:val="auto"/>
          <w:highlight w:val="none"/>
          <w:lang w:val="en-US" w:eastAsia="zh-CN"/>
        </w:rPr>
        <w:t>平面布置</w:t>
      </w:r>
    </w:p>
    <w:p>
      <w:pPr>
        <w:bidi w:val="0"/>
        <w:rPr>
          <w:rFonts w:hint="eastAsia"/>
          <w:color w:val="auto"/>
          <w:highlight w:val="none"/>
        </w:rPr>
      </w:pPr>
      <w:r>
        <w:rPr>
          <w:color w:val="auto"/>
          <w:highlight w:val="none"/>
        </w:rPr>
        <w:t>本项目地面建筑</w:t>
      </w:r>
      <w:r>
        <w:rPr>
          <w:rFonts w:hint="eastAsia"/>
          <w:color w:val="auto"/>
          <w:highlight w:val="none"/>
        </w:rPr>
        <w:t>主要</w:t>
      </w:r>
      <w:r>
        <w:rPr>
          <w:color w:val="auto"/>
          <w:highlight w:val="none"/>
        </w:rPr>
        <w:t>由</w:t>
      </w:r>
      <w:r>
        <w:rPr>
          <w:rFonts w:hint="eastAsia"/>
          <w:color w:val="auto"/>
          <w:highlight w:val="none"/>
        </w:rPr>
        <w:t>8座生产车间及1栋辅助用房组成，整体呈西北-东南走向。</w:t>
      </w:r>
    </w:p>
    <w:p>
      <w:pPr>
        <w:bidi w:val="0"/>
        <w:rPr>
          <w:rFonts w:hint="eastAsia"/>
          <w:color w:val="auto"/>
          <w:highlight w:val="none"/>
        </w:rPr>
      </w:pPr>
      <w:r>
        <w:rPr>
          <w:rFonts w:hint="eastAsia"/>
          <w:color w:val="auto"/>
          <w:highlight w:val="none"/>
        </w:rPr>
        <w:t>生产车间全部位于厂区的中部，厂房呈东北-西南走向布设，联排车间1位于项目区西北部，联排车间2位于项目区东南部，中间以一条厂区道路隔开；辅助用房位于项目区最东南面。</w:t>
      </w:r>
    </w:p>
    <w:p>
      <w:pPr>
        <w:bidi w:val="0"/>
        <w:rPr>
          <w:rFonts w:hint="eastAsia"/>
          <w:color w:val="auto"/>
          <w:highlight w:val="none"/>
        </w:rPr>
      </w:pPr>
      <w:r>
        <w:rPr>
          <w:rFonts w:hint="eastAsia"/>
          <w:color w:val="auto"/>
          <w:highlight w:val="none"/>
        </w:rPr>
        <w:t>地下蓄水池位于项目区东南面，辅助用房西南侧；地下消防泵房、发电机房则位于生产车间2的辅车间地下。</w:t>
      </w:r>
    </w:p>
    <w:p>
      <w:pPr>
        <w:bidi w:val="0"/>
        <w:rPr>
          <w:color w:val="auto"/>
          <w:highlight w:val="none"/>
        </w:rPr>
      </w:pPr>
      <w:r>
        <w:rPr>
          <w:rFonts w:hint="eastAsia"/>
          <w:color w:val="auto"/>
          <w:highlight w:val="none"/>
        </w:rPr>
        <w:t>厂区共布设3个出入口，全部位于项目区东北一面（三十号道路一侧），其中该侧中间位置为厂区主入口，方便车行及人行；正北角与正东角布设有两个后勤出入口</w:t>
      </w:r>
      <w:r>
        <w:rPr>
          <w:color w:val="auto"/>
          <w:highlight w:val="none"/>
        </w:rPr>
        <w:t>。</w:t>
      </w:r>
    </w:p>
    <w:p>
      <w:pPr>
        <w:pStyle w:val="5"/>
        <w:bidi w:val="0"/>
        <w:rPr>
          <w:rFonts w:hint="eastAsia"/>
          <w:color w:val="auto"/>
          <w:highlight w:val="none"/>
          <w:lang w:val="en-US" w:eastAsia="zh-CN"/>
        </w:rPr>
      </w:pPr>
      <w:r>
        <w:rPr>
          <w:rFonts w:hint="eastAsia"/>
          <w:color w:val="auto"/>
          <w:highlight w:val="none"/>
          <w:lang w:val="en-US" w:eastAsia="zh-CN"/>
        </w:rPr>
        <w:t>竖向布置</w:t>
      </w:r>
    </w:p>
    <w:p>
      <w:pPr>
        <w:bidi w:val="0"/>
        <w:rPr>
          <w:rFonts w:hint="eastAsia"/>
          <w:color w:val="auto"/>
          <w:highlight w:val="none"/>
        </w:rPr>
      </w:pPr>
      <w:bookmarkStart w:id="3" w:name="_Toc32623"/>
      <w:r>
        <w:rPr>
          <w:color w:val="auto"/>
          <w:highlight w:val="none"/>
        </w:rPr>
        <w:t>建</w:t>
      </w:r>
      <w:r>
        <w:rPr>
          <w:rFonts w:hint="eastAsia"/>
          <w:color w:val="auto"/>
          <w:highlight w:val="none"/>
          <w:lang w:val="en-US" w:eastAsia="zh-CN"/>
        </w:rPr>
        <w:t>设</w:t>
      </w:r>
      <w:r>
        <w:rPr>
          <w:color w:val="auto"/>
          <w:highlight w:val="none"/>
        </w:rPr>
        <w:t>场地</w:t>
      </w:r>
      <w:r>
        <w:rPr>
          <w:rFonts w:hint="eastAsia"/>
          <w:color w:val="auto"/>
          <w:highlight w:val="none"/>
        </w:rPr>
        <w:t>原</w:t>
      </w:r>
      <w:r>
        <w:rPr>
          <w:color w:val="auto"/>
          <w:highlight w:val="none"/>
        </w:rPr>
        <w:t>地面高程507～514m，为浅丘地貌，</w:t>
      </w:r>
      <w:r>
        <w:rPr>
          <w:rFonts w:hint="eastAsia"/>
          <w:color w:val="auto"/>
          <w:highlight w:val="none"/>
        </w:rPr>
        <w:t>整体较为平坦（场地大部分区域标高为511~514m，高差不大，只是在场地南部和东部局部地方存在标高507m的深凹凼）。</w:t>
      </w:r>
      <w:r>
        <w:rPr>
          <w:color w:val="auto"/>
          <w:highlight w:val="none"/>
        </w:rPr>
        <w:t>地块为</w:t>
      </w:r>
      <w:r>
        <w:rPr>
          <w:rFonts w:hint="eastAsia"/>
          <w:color w:val="auto"/>
          <w:highlight w:val="none"/>
        </w:rPr>
        <w:t>西北-东南向</w:t>
      </w:r>
      <w:r>
        <w:rPr>
          <w:color w:val="auto"/>
          <w:highlight w:val="none"/>
        </w:rPr>
        <w:t>长</w:t>
      </w:r>
      <w:r>
        <w:rPr>
          <w:rFonts w:hint="eastAsia"/>
          <w:color w:val="auto"/>
          <w:highlight w:val="none"/>
        </w:rPr>
        <w:t>方</w:t>
      </w:r>
      <w:r>
        <w:rPr>
          <w:color w:val="auto"/>
          <w:highlight w:val="none"/>
        </w:rPr>
        <w:t>形，整体</w:t>
      </w:r>
      <w:r>
        <w:rPr>
          <w:rFonts w:hint="eastAsia"/>
          <w:color w:val="auto"/>
          <w:highlight w:val="none"/>
        </w:rPr>
        <w:t>北高南低、东高西低</w:t>
      </w:r>
      <w:r>
        <w:rPr>
          <w:color w:val="auto"/>
          <w:highlight w:val="none"/>
        </w:rPr>
        <w:t>，地面设计标高为513m</w:t>
      </w:r>
      <w:r>
        <w:rPr>
          <w:rFonts w:hint="eastAsia"/>
          <w:color w:val="auto"/>
          <w:highlight w:val="none"/>
        </w:rPr>
        <w:t>；</w:t>
      </w:r>
      <w:r>
        <w:rPr>
          <w:color w:val="auto"/>
          <w:highlight w:val="none"/>
        </w:rPr>
        <w:t>地下</w:t>
      </w:r>
      <w:r>
        <w:rPr>
          <w:rFonts w:hint="eastAsia"/>
          <w:color w:val="auto"/>
          <w:highlight w:val="none"/>
        </w:rPr>
        <w:t>建筑</w:t>
      </w:r>
      <w:r>
        <w:rPr>
          <w:color w:val="auto"/>
          <w:highlight w:val="none"/>
        </w:rPr>
        <w:t>层高</w:t>
      </w:r>
      <w:r>
        <w:rPr>
          <w:rFonts w:hint="eastAsia"/>
          <w:color w:val="auto"/>
          <w:highlight w:val="none"/>
        </w:rPr>
        <w:t>2~3</w:t>
      </w:r>
      <w:r>
        <w:rPr>
          <w:color w:val="auto"/>
          <w:highlight w:val="none"/>
        </w:rPr>
        <w:t>m，底部标高为510m。</w:t>
      </w:r>
    </w:p>
    <w:p>
      <w:pPr>
        <w:bidi w:val="0"/>
        <w:rPr>
          <w:rFonts w:hint="eastAsia"/>
          <w:color w:val="auto"/>
          <w:highlight w:val="none"/>
        </w:rPr>
      </w:pPr>
      <w:r>
        <w:rPr>
          <w:rFonts w:hint="eastAsia"/>
          <w:color w:val="auto"/>
          <w:highlight w:val="none"/>
        </w:rPr>
        <w:t>场地内深凹凼将有园区管委会进行回填场平，填方由园区其他建设项目场地调入，回填后深凹凼标高提升至512m左右。</w:t>
      </w:r>
    </w:p>
    <w:p>
      <w:pPr>
        <w:bidi w:val="0"/>
        <w:rPr>
          <w:color w:val="auto"/>
          <w:highlight w:val="none"/>
        </w:rPr>
      </w:pPr>
      <w:r>
        <w:rPr>
          <w:rFonts w:hint="eastAsia"/>
          <w:color w:val="auto"/>
          <w:highlight w:val="none"/>
        </w:rPr>
        <w:t>项目厂区旁园区道路设计标高为512~514m，厂区内道路能够与市政道路相结合。</w:t>
      </w:r>
      <w:r>
        <w:rPr>
          <w:color w:val="auto"/>
          <w:highlight w:val="none"/>
        </w:rPr>
        <w:t>给排水</w:t>
      </w:r>
      <w:r>
        <w:rPr>
          <w:rFonts w:hint="eastAsia"/>
          <w:color w:val="auto"/>
          <w:highlight w:val="none"/>
        </w:rPr>
        <w:t>系统</w:t>
      </w:r>
      <w:r>
        <w:rPr>
          <w:color w:val="auto"/>
          <w:highlight w:val="none"/>
        </w:rPr>
        <w:t>采用埋地敷设</w:t>
      </w:r>
      <w:r>
        <w:rPr>
          <w:rFonts w:hint="eastAsia"/>
          <w:color w:val="auto"/>
          <w:highlight w:val="none"/>
        </w:rPr>
        <w:t>（开挖）</w:t>
      </w:r>
      <w:r>
        <w:rPr>
          <w:color w:val="auto"/>
          <w:highlight w:val="none"/>
        </w:rPr>
        <w:t>，场地内雨水经</w:t>
      </w:r>
      <w:r>
        <w:rPr>
          <w:rFonts w:hint="eastAsia"/>
          <w:color w:val="auto"/>
          <w:highlight w:val="none"/>
        </w:rPr>
        <w:t>排水沟</w:t>
      </w:r>
      <w:r>
        <w:rPr>
          <w:color w:val="auto"/>
          <w:highlight w:val="none"/>
        </w:rPr>
        <w:t>有组织排入</w:t>
      </w:r>
      <w:r>
        <w:rPr>
          <w:rFonts w:hint="eastAsia"/>
          <w:color w:val="auto"/>
          <w:highlight w:val="none"/>
        </w:rPr>
        <w:t>市政</w:t>
      </w:r>
      <w:r>
        <w:rPr>
          <w:color w:val="auto"/>
          <w:highlight w:val="none"/>
        </w:rPr>
        <w:t>道路雨水检查井，排水方向由西至东，排水坡度i≥0.003。</w:t>
      </w:r>
      <w:bookmarkEnd w:id="3"/>
    </w:p>
    <w:p>
      <w:pPr>
        <w:pStyle w:val="4"/>
        <w:rPr>
          <w:rFonts w:cs="Times New Roman"/>
          <w:color w:val="auto"/>
          <w:highlight w:val="none"/>
        </w:rPr>
      </w:pPr>
      <w:r>
        <w:rPr>
          <w:rFonts w:cs="Times New Roman"/>
          <w:color w:val="auto"/>
          <w:highlight w:val="none"/>
        </w:rPr>
        <w:t>施工组织及工期</w:t>
      </w:r>
    </w:p>
    <w:p>
      <w:pPr>
        <w:pStyle w:val="5"/>
        <w:rPr>
          <w:rFonts w:cs="Times New Roman"/>
          <w:color w:val="auto"/>
          <w:highlight w:val="none"/>
        </w:rPr>
      </w:pPr>
      <w:r>
        <w:rPr>
          <w:rFonts w:cs="Times New Roman"/>
          <w:color w:val="auto"/>
          <w:highlight w:val="none"/>
        </w:rPr>
        <w:t>施工组织</w:t>
      </w:r>
    </w:p>
    <w:p>
      <w:pPr>
        <w:numPr>
          <w:ilvl w:val="0"/>
          <w:numId w:val="3"/>
        </w:numPr>
        <w:ind w:firstLine="480"/>
        <w:rPr>
          <w:color w:val="auto"/>
          <w:highlight w:val="none"/>
        </w:rPr>
      </w:pPr>
      <w:r>
        <w:rPr>
          <w:rFonts w:hint="eastAsia"/>
          <w:color w:val="auto"/>
          <w:highlight w:val="none"/>
        </w:rPr>
        <w:t>施工场地设置情况</w:t>
      </w:r>
    </w:p>
    <w:p>
      <w:pPr>
        <w:ind w:firstLine="480"/>
        <w:rPr>
          <w:rFonts w:hint="eastAsia"/>
          <w:color w:val="auto"/>
          <w:highlight w:val="none"/>
        </w:rPr>
      </w:pPr>
      <w:r>
        <w:rPr>
          <w:rFonts w:hint="eastAsia"/>
          <w:color w:val="auto"/>
          <w:highlight w:val="none"/>
        </w:rPr>
        <w:t>本项目施工生产生活区占地面积约0.05hm</w:t>
      </w:r>
      <w:r>
        <w:rPr>
          <w:rFonts w:hint="eastAsia"/>
          <w:color w:val="auto"/>
          <w:highlight w:val="none"/>
          <w:vertAlign w:val="superscript"/>
        </w:rPr>
        <w:t>2</w:t>
      </w:r>
      <w:r>
        <w:rPr>
          <w:rFonts w:hint="eastAsia"/>
          <w:color w:val="auto"/>
          <w:highlight w:val="none"/>
        </w:rPr>
        <w:t>，布置在项目区正东角的停车场处。施工材料及机械可以十分便捷的通过三十号道路运输施工生产生活区，便利快捷。</w:t>
      </w:r>
    </w:p>
    <w:p>
      <w:pPr>
        <w:ind w:firstLine="480"/>
        <w:rPr>
          <w:color w:val="auto"/>
          <w:highlight w:val="none"/>
        </w:rPr>
      </w:pPr>
      <w:r>
        <w:rPr>
          <w:rFonts w:hint="eastAsia"/>
          <w:color w:val="auto"/>
          <w:highlight w:val="none"/>
        </w:rPr>
        <w:t>施工生产生活区主要用于钢筋、木材、建筑机械等施工物品的临时堆存及加工、工人生活设施等，建设期间不涉及拌和场，地面全做混泥土硬化处理，方便施工。</w:t>
      </w:r>
    </w:p>
    <w:p>
      <w:pPr>
        <w:numPr>
          <w:ilvl w:val="0"/>
          <w:numId w:val="3"/>
        </w:numPr>
        <w:ind w:firstLine="480"/>
        <w:rPr>
          <w:color w:val="auto"/>
          <w:highlight w:val="none"/>
        </w:rPr>
      </w:pPr>
      <w:r>
        <w:rPr>
          <w:rFonts w:hint="eastAsia"/>
          <w:color w:val="auto"/>
          <w:highlight w:val="none"/>
          <w:lang w:val="en-US" w:eastAsia="zh-CN"/>
        </w:rPr>
        <w:t>临时堆土</w:t>
      </w:r>
      <w:r>
        <w:rPr>
          <w:rFonts w:hint="eastAsia"/>
          <w:color w:val="auto"/>
          <w:highlight w:val="none"/>
        </w:rPr>
        <w:t>设置情况</w:t>
      </w:r>
    </w:p>
    <w:p>
      <w:pPr>
        <w:spacing w:line="348" w:lineRule="auto"/>
        <w:ind w:firstLine="460" w:firstLineChars="192"/>
        <w:rPr>
          <w:rFonts w:hint="eastAsia"/>
          <w:color w:val="auto"/>
          <w:sz w:val="24"/>
          <w:highlight w:val="none"/>
        </w:rPr>
      </w:pPr>
      <w:r>
        <w:rPr>
          <w:rFonts w:hint="eastAsia"/>
          <w:color w:val="auto"/>
          <w:sz w:val="24"/>
          <w:highlight w:val="none"/>
        </w:rPr>
        <w:t>基础开挖临时土方就近堆放，不设置集中堆放场地；根据项目施工组织，表土将存放将近一年时间，方案新增一处表土堆场，并布设相应防护措施。</w:t>
      </w:r>
    </w:p>
    <w:p>
      <w:pPr>
        <w:ind w:firstLine="480"/>
        <w:rPr>
          <w:color w:val="auto"/>
          <w:highlight w:val="none"/>
        </w:rPr>
      </w:pPr>
      <w:r>
        <w:rPr>
          <w:rFonts w:hint="eastAsia"/>
          <w:color w:val="auto"/>
          <w:sz w:val="24"/>
          <w:highlight w:val="none"/>
        </w:rPr>
        <w:t>本项目绿地面积2078.53</w:t>
      </w:r>
      <w:r>
        <w:rPr>
          <w:color w:val="auto"/>
          <w:sz w:val="24"/>
          <w:highlight w:val="none"/>
        </w:rPr>
        <w:t>m</w:t>
      </w:r>
      <w:r>
        <w:rPr>
          <w:color w:val="auto"/>
          <w:sz w:val="24"/>
          <w:highlight w:val="none"/>
          <w:vertAlign w:val="superscript"/>
        </w:rPr>
        <w:t>2</w:t>
      </w:r>
      <w:r>
        <w:rPr>
          <w:rFonts w:hint="eastAsia"/>
          <w:color w:val="auto"/>
          <w:sz w:val="24"/>
          <w:highlight w:val="none"/>
        </w:rPr>
        <w:t>，预计表土量为0.06万m</w:t>
      </w:r>
      <w:r>
        <w:rPr>
          <w:color w:val="auto"/>
          <w:sz w:val="24"/>
          <w:highlight w:val="none"/>
        </w:rPr>
        <w:t>³</w:t>
      </w:r>
      <w:r>
        <w:rPr>
          <w:rFonts w:hint="eastAsia"/>
          <w:color w:val="auto"/>
          <w:sz w:val="24"/>
          <w:highlight w:val="none"/>
        </w:rPr>
        <w:t>，新增一处占地面积0.03h</w:t>
      </w:r>
      <w:r>
        <w:rPr>
          <w:color w:val="auto"/>
          <w:sz w:val="24"/>
          <w:highlight w:val="none"/>
        </w:rPr>
        <w:t>m</w:t>
      </w:r>
      <w:r>
        <w:rPr>
          <w:color w:val="auto"/>
          <w:sz w:val="24"/>
          <w:highlight w:val="none"/>
          <w:vertAlign w:val="superscript"/>
        </w:rPr>
        <w:t>2</w:t>
      </w:r>
      <w:r>
        <w:rPr>
          <w:rFonts w:hint="eastAsia"/>
          <w:color w:val="auto"/>
          <w:sz w:val="24"/>
          <w:highlight w:val="none"/>
        </w:rPr>
        <w:t>的表土堆场，表土堆高2m</w:t>
      </w:r>
      <w:r>
        <w:rPr>
          <w:color w:val="auto"/>
          <w:sz w:val="24"/>
          <w:highlight w:val="none"/>
        </w:rPr>
        <w:t>。</w:t>
      </w:r>
      <w:r>
        <w:rPr>
          <w:rFonts w:hint="eastAsia"/>
          <w:color w:val="auto"/>
          <w:sz w:val="24"/>
          <w:highlight w:val="none"/>
        </w:rPr>
        <w:t>根据项目场地实际情况，表土堆场布设在项目区东北侧的停车位区域内</w:t>
      </w:r>
      <w:r>
        <w:rPr>
          <w:rFonts w:hint="eastAsia"/>
          <w:color w:val="auto"/>
          <w:highlight w:val="none"/>
        </w:rPr>
        <w:t>。</w:t>
      </w:r>
    </w:p>
    <w:p>
      <w:pPr>
        <w:pStyle w:val="5"/>
        <w:rPr>
          <w:rFonts w:cs="Times New Roman"/>
          <w:color w:val="auto"/>
          <w:highlight w:val="none"/>
        </w:rPr>
      </w:pPr>
      <w:r>
        <w:rPr>
          <w:rFonts w:cs="Times New Roman"/>
          <w:color w:val="auto"/>
          <w:highlight w:val="none"/>
        </w:rPr>
        <w:t>施工日期</w:t>
      </w:r>
    </w:p>
    <w:p>
      <w:pPr>
        <w:ind w:firstLine="480"/>
        <w:rPr>
          <w:rFonts w:cs="Times New Roman"/>
          <w:color w:val="auto"/>
          <w:highlight w:val="none"/>
        </w:rPr>
      </w:pPr>
      <w:r>
        <w:rPr>
          <w:rFonts w:cs="Times New Roman"/>
          <w:color w:val="auto"/>
          <w:highlight w:val="none"/>
        </w:rPr>
        <w:t>计划工期：本项目计划于</w:t>
      </w:r>
      <w:r>
        <w:rPr>
          <w:rFonts w:hint="eastAsia" w:cs="Times New Roman"/>
          <w:color w:val="auto"/>
          <w:highlight w:val="none"/>
          <w:lang w:eastAsia="zh-CN"/>
        </w:rPr>
        <w:t>2016年9月</w:t>
      </w:r>
      <w:r>
        <w:rPr>
          <w:rFonts w:cs="Times New Roman"/>
          <w:color w:val="auto"/>
          <w:highlight w:val="none"/>
        </w:rPr>
        <w:t>开工，预计</w:t>
      </w:r>
      <w:r>
        <w:rPr>
          <w:rFonts w:hint="eastAsia" w:cs="Times New Roman"/>
          <w:color w:val="auto"/>
          <w:highlight w:val="none"/>
          <w:lang w:eastAsia="zh-CN"/>
        </w:rPr>
        <w:t>2017年9月</w:t>
      </w:r>
      <w:r>
        <w:rPr>
          <w:rFonts w:cs="Times New Roman"/>
          <w:color w:val="auto"/>
          <w:highlight w:val="none"/>
        </w:rPr>
        <w:t>完工，计划总工期</w:t>
      </w:r>
      <w:r>
        <w:rPr>
          <w:rFonts w:hint="eastAsia" w:cs="Times New Roman"/>
          <w:color w:val="auto"/>
          <w:highlight w:val="none"/>
          <w:lang w:eastAsia="zh-CN"/>
        </w:rPr>
        <w:t>13个月</w:t>
      </w:r>
      <w:r>
        <w:rPr>
          <w:rFonts w:cs="Times New Roman"/>
          <w:color w:val="auto"/>
          <w:highlight w:val="none"/>
        </w:rPr>
        <w:t>。</w:t>
      </w:r>
    </w:p>
    <w:p>
      <w:pPr>
        <w:ind w:firstLine="480"/>
        <w:rPr>
          <w:rFonts w:cs="Times New Roman"/>
          <w:color w:val="auto"/>
          <w:highlight w:val="none"/>
        </w:rPr>
      </w:pPr>
      <w:r>
        <w:rPr>
          <w:rFonts w:cs="Times New Roman"/>
          <w:color w:val="auto"/>
          <w:highlight w:val="none"/>
        </w:rPr>
        <w:t>实际工期：工程于</w:t>
      </w:r>
      <w:r>
        <w:rPr>
          <w:rFonts w:hint="eastAsia" w:cs="Times New Roman"/>
          <w:color w:val="auto"/>
          <w:highlight w:val="none"/>
          <w:lang w:eastAsia="zh-CN"/>
        </w:rPr>
        <w:t>2016年9月</w:t>
      </w:r>
      <w:r>
        <w:rPr>
          <w:rFonts w:cs="Times New Roman"/>
          <w:color w:val="auto"/>
          <w:highlight w:val="none"/>
        </w:rPr>
        <w:t>开工，</w:t>
      </w:r>
      <w:r>
        <w:rPr>
          <w:rFonts w:hint="eastAsia" w:cs="Times New Roman"/>
          <w:color w:val="auto"/>
          <w:highlight w:val="none"/>
        </w:rPr>
        <w:t>已于</w:t>
      </w:r>
      <w:r>
        <w:rPr>
          <w:rFonts w:hint="eastAsia" w:cs="Times New Roman"/>
          <w:color w:val="auto"/>
          <w:highlight w:val="none"/>
          <w:lang w:eastAsia="zh-CN"/>
        </w:rPr>
        <w:t>2017年9月</w:t>
      </w:r>
      <w:r>
        <w:rPr>
          <w:rFonts w:cs="Times New Roman"/>
          <w:color w:val="auto"/>
          <w:highlight w:val="none"/>
        </w:rPr>
        <w:t>完工并投入试运行，</w:t>
      </w:r>
      <w:r>
        <w:rPr>
          <w:rFonts w:hint="eastAsia" w:cs="Times New Roman"/>
          <w:color w:val="auto"/>
          <w:highlight w:val="none"/>
        </w:rPr>
        <w:t>实际</w:t>
      </w:r>
      <w:r>
        <w:rPr>
          <w:rFonts w:cs="Times New Roman"/>
          <w:color w:val="auto"/>
          <w:highlight w:val="none"/>
        </w:rPr>
        <w:t>建设总工期</w:t>
      </w:r>
      <w:r>
        <w:rPr>
          <w:rFonts w:hint="eastAsia" w:cs="Times New Roman"/>
          <w:color w:val="auto"/>
          <w:highlight w:val="none"/>
          <w:lang w:eastAsia="zh-CN"/>
        </w:rPr>
        <w:t>13个月</w:t>
      </w:r>
      <w:r>
        <w:rPr>
          <w:rFonts w:cs="Times New Roman"/>
          <w:color w:val="auto"/>
          <w:highlight w:val="none"/>
        </w:rPr>
        <w:t>。</w:t>
      </w:r>
    </w:p>
    <w:p>
      <w:pPr>
        <w:pStyle w:val="4"/>
        <w:rPr>
          <w:rFonts w:cs="Times New Roman"/>
          <w:color w:val="auto"/>
          <w:highlight w:val="none"/>
        </w:rPr>
      </w:pPr>
      <w:r>
        <w:rPr>
          <w:rFonts w:cs="Times New Roman"/>
          <w:color w:val="auto"/>
          <w:highlight w:val="none"/>
        </w:rPr>
        <w:t>土石方情况</w:t>
      </w:r>
    </w:p>
    <w:p>
      <w:pPr>
        <w:ind w:firstLine="480"/>
        <w:rPr>
          <w:rFonts w:hint="eastAsia" w:cs="Times New Roman"/>
          <w:color w:val="auto"/>
          <w:highlight w:val="none"/>
        </w:rPr>
      </w:pPr>
      <w:r>
        <w:rPr>
          <w:rFonts w:hint="eastAsia" w:cs="Times New Roman"/>
          <w:color w:val="auto"/>
          <w:highlight w:val="none"/>
        </w:rPr>
        <w:t>经查阅施工资料和现场调查，本工程共开挖土石方2.89万m</w:t>
      </w:r>
      <w:r>
        <w:rPr>
          <w:rFonts w:hint="eastAsia" w:cs="Times New Roman"/>
          <w:color w:val="auto"/>
          <w:highlight w:val="none"/>
          <w:vertAlign w:val="superscript"/>
        </w:rPr>
        <w:t>3</w:t>
      </w:r>
      <w:r>
        <w:rPr>
          <w:rFonts w:hint="eastAsia" w:cs="Times New Roman"/>
          <w:color w:val="auto"/>
          <w:highlight w:val="none"/>
        </w:rPr>
        <w:t>（自然方，下同，含表土剥离0.</w:t>
      </w:r>
      <w:r>
        <w:rPr>
          <w:rFonts w:hint="eastAsia" w:cs="Times New Roman"/>
          <w:color w:val="auto"/>
          <w:highlight w:val="none"/>
          <w:lang w:val="en-US" w:eastAsia="zh-CN"/>
        </w:rPr>
        <w:t>09</w:t>
      </w:r>
      <w:r>
        <w:rPr>
          <w:rFonts w:hint="eastAsia" w:cs="Times New Roman"/>
          <w:color w:val="auto"/>
          <w:highlight w:val="none"/>
        </w:rPr>
        <w:t>万m</w:t>
      </w:r>
      <w:r>
        <w:rPr>
          <w:rFonts w:hint="eastAsia" w:cs="Times New Roman"/>
          <w:color w:val="auto"/>
          <w:highlight w:val="none"/>
          <w:vertAlign w:val="superscript"/>
        </w:rPr>
        <w:t>3</w:t>
      </w:r>
      <w:r>
        <w:rPr>
          <w:rFonts w:hint="eastAsia" w:cs="Times New Roman"/>
          <w:color w:val="auto"/>
          <w:highlight w:val="none"/>
        </w:rPr>
        <w:t>），回填土石方</w:t>
      </w:r>
      <w:r>
        <w:rPr>
          <w:rFonts w:hint="eastAsia" w:cs="Times New Roman"/>
          <w:color w:val="auto"/>
          <w:highlight w:val="none"/>
          <w:lang w:val="en-US" w:eastAsia="zh-CN"/>
        </w:rPr>
        <w:t>1</w:t>
      </w:r>
      <w:r>
        <w:rPr>
          <w:rFonts w:hint="eastAsia" w:cs="Times New Roman"/>
          <w:color w:val="auto"/>
          <w:highlight w:val="none"/>
        </w:rPr>
        <w:t>2.89万m</w:t>
      </w:r>
      <w:r>
        <w:rPr>
          <w:rFonts w:hint="eastAsia" w:cs="Times New Roman"/>
          <w:color w:val="auto"/>
          <w:highlight w:val="none"/>
          <w:vertAlign w:val="superscript"/>
        </w:rPr>
        <w:t>3</w:t>
      </w:r>
      <w:r>
        <w:rPr>
          <w:rFonts w:hint="eastAsia" w:cs="Times New Roman"/>
          <w:color w:val="auto"/>
          <w:highlight w:val="none"/>
        </w:rPr>
        <w:t>（含表土回铺0.</w:t>
      </w:r>
      <w:r>
        <w:rPr>
          <w:rFonts w:hint="eastAsia" w:cs="Times New Roman"/>
          <w:color w:val="auto"/>
          <w:highlight w:val="none"/>
          <w:lang w:val="en-US" w:eastAsia="zh-CN"/>
        </w:rPr>
        <w:t>09</w:t>
      </w:r>
      <w:r>
        <w:rPr>
          <w:rFonts w:hint="eastAsia" w:cs="Times New Roman"/>
          <w:color w:val="auto"/>
          <w:highlight w:val="none"/>
        </w:rPr>
        <w:t>万m</w:t>
      </w:r>
      <w:r>
        <w:rPr>
          <w:rFonts w:hint="eastAsia" w:cs="Times New Roman"/>
          <w:color w:val="auto"/>
          <w:highlight w:val="none"/>
          <w:vertAlign w:val="superscript"/>
        </w:rPr>
        <w:t>3</w:t>
      </w:r>
      <w:r>
        <w:rPr>
          <w:rFonts w:hint="eastAsia" w:cs="Times New Roman"/>
          <w:color w:val="auto"/>
          <w:highlight w:val="none"/>
        </w:rPr>
        <w:t>），借方</w:t>
      </w:r>
      <w:r>
        <w:rPr>
          <w:rFonts w:hint="eastAsia" w:cs="Times New Roman"/>
          <w:color w:val="auto"/>
          <w:highlight w:val="none"/>
          <w:lang w:val="en-US" w:eastAsia="zh-CN"/>
        </w:rPr>
        <w:t>10</w:t>
      </w:r>
      <w:r>
        <w:rPr>
          <w:rFonts w:hint="eastAsia" w:cs="Times New Roman"/>
          <w:color w:val="auto"/>
          <w:highlight w:val="none"/>
        </w:rPr>
        <w:t>万m</w:t>
      </w:r>
      <w:r>
        <w:rPr>
          <w:rFonts w:hint="eastAsia" w:cs="Times New Roman"/>
          <w:color w:val="auto"/>
          <w:highlight w:val="none"/>
          <w:vertAlign w:val="superscript"/>
        </w:rPr>
        <w:t>3</w:t>
      </w:r>
      <w:r>
        <w:rPr>
          <w:rFonts w:hint="eastAsia" w:cs="Times New Roman"/>
          <w:color w:val="auto"/>
          <w:highlight w:val="none"/>
        </w:rPr>
        <w:t>，</w:t>
      </w:r>
      <w:r>
        <w:rPr>
          <w:rFonts w:hint="eastAsia" w:cs="Times New Roman"/>
          <w:color w:val="auto"/>
          <w:highlight w:val="none"/>
          <w:lang w:val="en-US" w:eastAsia="zh-CN"/>
        </w:rPr>
        <w:t>无弃方</w:t>
      </w:r>
      <w:r>
        <w:rPr>
          <w:rFonts w:hint="eastAsia" w:cs="Times New Roman"/>
          <w:color w:val="auto"/>
          <w:highlight w:val="none"/>
        </w:rPr>
        <w:t>，</w:t>
      </w:r>
      <w:r>
        <w:rPr>
          <w:rFonts w:hint="eastAsia" w:cs="Times New Roman"/>
          <w:color w:val="auto"/>
          <w:highlight w:val="none"/>
          <w:lang w:val="en-US" w:eastAsia="zh-CN"/>
        </w:rPr>
        <w:t>借方</w:t>
      </w:r>
      <w:r>
        <w:rPr>
          <w:rFonts w:hint="eastAsia" w:cs="Times New Roman"/>
          <w:color w:val="auto"/>
          <w:highlight w:val="none"/>
        </w:rPr>
        <w:t>由其他建设项目的弃土及园区管委会调入土方进行回填。</w:t>
      </w:r>
    </w:p>
    <w:p>
      <w:pPr>
        <w:bidi w:val="0"/>
        <w:rPr>
          <w:color w:val="auto"/>
          <w:highlight w:val="none"/>
        </w:rPr>
      </w:pPr>
      <w:r>
        <w:rPr>
          <w:rFonts w:hint="eastAsia"/>
          <w:color w:val="auto"/>
          <w:highlight w:val="none"/>
        </w:rPr>
        <w:t>本工程土石方开挖与回填平衡，</w:t>
      </w:r>
      <w:r>
        <w:rPr>
          <w:rFonts w:hint="eastAsia"/>
          <w:color w:val="auto"/>
          <w:highlight w:val="none"/>
          <w:lang w:val="en-US" w:eastAsia="zh-CN"/>
        </w:rPr>
        <w:t>无弃方</w:t>
      </w:r>
      <w:r>
        <w:rPr>
          <w:rFonts w:hint="eastAsia"/>
          <w:color w:val="auto"/>
          <w:highlight w:val="none"/>
        </w:rPr>
        <w:t>，基本满足水土保持要求</w:t>
      </w:r>
      <w:r>
        <w:rPr>
          <w:color w:val="auto"/>
          <w:highlight w:val="none"/>
        </w:rPr>
        <w:t>。</w:t>
      </w:r>
    </w:p>
    <w:p>
      <w:pPr>
        <w:pStyle w:val="15"/>
        <w:rPr>
          <w:rFonts w:cs="Times New Roman"/>
          <w:color w:val="auto"/>
          <w:highlight w:val="none"/>
        </w:rPr>
      </w:pPr>
      <w:r>
        <w:rPr>
          <w:rFonts w:cs="Times New Roman"/>
          <w:color w:val="auto"/>
          <w:highlight w:val="none"/>
        </w:rPr>
        <w:t>表1.1-</w:t>
      </w:r>
      <w:r>
        <w:rPr>
          <w:rFonts w:hint="eastAsia" w:cs="Times New Roman"/>
          <w:color w:val="auto"/>
          <w:highlight w:val="none"/>
          <w:lang w:val="en-US" w:eastAsia="zh-CN"/>
        </w:rPr>
        <w:t>3</w:t>
      </w:r>
      <w:r>
        <w:rPr>
          <w:rFonts w:cs="Times New Roman"/>
          <w:color w:val="auto"/>
          <w:highlight w:val="none"/>
        </w:rPr>
        <w:t>方案设计土石方量     单位：万m</w:t>
      </w:r>
      <w:r>
        <w:rPr>
          <w:rFonts w:cs="Times New Roman"/>
          <w:color w:val="auto"/>
          <w:highlight w:val="none"/>
          <w:vertAlign w:val="superscript"/>
        </w:rPr>
        <w:t>3</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022"/>
        <w:gridCol w:w="1940"/>
        <w:gridCol w:w="1023"/>
        <w:gridCol w:w="1023"/>
        <w:gridCol w:w="1023"/>
        <w:gridCol w:w="1023"/>
        <w:gridCol w:w="1023"/>
        <w:gridCol w:w="102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序号</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项目</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 xml:space="preserve"> 挖方</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填方</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调入</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调出</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借方</w:t>
            </w: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弃方</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①</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表土剥离与回覆</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0.09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0.09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②</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场地平整</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2.41</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12.41</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10</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③</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工程建设期</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0.39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0.39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合计</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2.89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12.89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10</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bl>
    <w:p>
      <w:pPr>
        <w:pStyle w:val="15"/>
        <w:bidi w:val="0"/>
        <w:rPr>
          <w:color w:val="auto"/>
          <w:highlight w:val="none"/>
        </w:rPr>
      </w:pPr>
      <w:r>
        <w:rPr>
          <w:color w:val="auto"/>
          <w:highlight w:val="none"/>
        </w:rPr>
        <w:t>表1.1-</w:t>
      </w:r>
      <w:r>
        <w:rPr>
          <w:rFonts w:hint="eastAsia"/>
          <w:color w:val="auto"/>
          <w:highlight w:val="none"/>
          <w:lang w:val="en-US" w:eastAsia="zh-CN"/>
        </w:rPr>
        <w:t>4</w:t>
      </w:r>
      <w:r>
        <w:rPr>
          <w:color w:val="auto"/>
          <w:highlight w:val="none"/>
        </w:rPr>
        <w:t xml:space="preserve"> 实际工程土石方量表     单位：万m</w:t>
      </w:r>
      <w:r>
        <w:rPr>
          <w:color w:val="auto"/>
          <w:highlight w:val="none"/>
          <w:vertAlign w:val="superscript"/>
        </w:rPr>
        <w:t>3</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022"/>
        <w:gridCol w:w="1940"/>
        <w:gridCol w:w="1023"/>
        <w:gridCol w:w="1023"/>
        <w:gridCol w:w="1023"/>
        <w:gridCol w:w="1023"/>
        <w:gridCol w:w="1023"/>
        <w:gridCol w:w="102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序号</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项目</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 xml:space="preserve"> 挖方</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填方</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调入</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调出</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借方</w:t>
            </w: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弃方</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①</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表土剥离与回覆</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0.09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0.09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②</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场地平整</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2.41</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12.41</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10</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③</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工程建设期</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0.39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0.39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合计</w:t>
            </w:r>
          </w:p>
        </w:tc>
        <w:tc>
          <w:tcPr>
            <w:tcW w:w="106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2.89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12.89</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10</w:t>
            </w: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c>
          <w:tcPr>
            <w:tcW w:w="56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bl>
    <w:p>
      <w:pPr>
        <w:pStyle w:val="4"/>
        <w:rPr>
          <w:rFonts w:cs="Times New Roman"/>
          <w:color w:val="auto"/>
          <w:highlight w:val="none"/>
        </w:rPr>
      </w:pPr>
      <w:r>
        <w:rPr>
          <w:rFonts w:cs="Times New Roman"/>
          <w:color w:val="auto"/>
          <w:highlight w:val="none"/>
        </w:rPr>
        <w:t>征占地情况</w:t>
      </w:r>
    </w:p>
    <w:p>
      <w:pPr>
        <w:ind w:firstLine="480"/>
        <w:rPr>
          <w:rFonts w:cs="Times New Roman"/>
          <w:color w:val="auto"/>
          <w:highlight w:val="none"/>
        </w:rPr>
      </w:pPr>
      <w:r>
        <w:rPr>
          <w:rFonts w:hint="eastAsia"/>
          <w:color w:val="auto"/>
          <w:highlight w:val="none"/>
        </w:rPr>
        <w:t>根据批复水土保持方案，批复方案工程总</w:t>
      </w:r>
      <w:r>
        <w:rPr>
          <w:color w:val="auto"/>
          <w:spacing w:val="-6"/>
          <w:highlight w:val="none"/>
        </w:rPr>
        <w:t>占地共计</w:t>
      </w:r>
      <w:r>
        <w:rPr>
          <w:rFonts w:hint="eastAsia" w:eastAsia="宋体"/>
          <w:color w:val="auto"/>
          <w:highlight w:val="none"/>
          <w:lang w:eastAsia="zh-CN"/>
        </w:rPr>
        <w:t>4.45</w:t>
      </w:r>
      <w:r>
        <w:rPr>
          <w:rFonts w:eastAsia="Times New Roman"/>
          <w:color w:val="auto"/>
          <w:highlight w:val="none"/>
        </w:rPr>
        <w:t>hm</w:t>
      </w:r>
      <w:r>
        <w:rPr>
          <w:rFonts w:eastAsia="Times New Roman"/>
          <w:color w:val="auto"/>
          <w:position w:val="8"/>
          <w:sz w:val="15"/>
          <w:highlight w:val="none"/>
        </w:rPr>
        <w:t>2</w:t>
      </w:r>
      <w:r>
        <w:rPr>
          <w:color w:val="auto"/>
          <w:spacing w:val="-6"/>
          <w:highlight w:val="none"/>
        </w:rPr>
        <w:t>，</w:t>
      </w:r>
      <w:r>
        <w:rPr>
          <w:rFonts w:hint="eastAsia"/>
          <w:color w:val="auto"/>
          <w:spacing w:val="-6"/>
          <w:highlight w:val="none"/>
          <w:lang w:val="en-US" w:eastAsia="zh-CN"/>
        </w:rPr>
        <w:t>均为永久占地</w:t>
      </w:r>
      <w:r>
        <w:rPr>
          <w:rFonts w:hint="eastAsia"/>
          <w:color w:val="auto"/>
          <w:highlight w:val="none"/>
        </w:rPr>
        <w:t>。</w:t>
      </w:r>
    </w:p>
    <w:p>
      <w:pPr>
        <w:ind w:firstLine="480"/>
        <w:rPr>
          <w:rFonts w:hint="default" w:eastAsia="仿宋" w:cs="Times New Roman"/>
          <w:color w:val="auto"/>
          <w:highlight w:val="none"/>
          <w:lang w:val="en-US" w:eastAsia="zh-CN"/>
        </w:rPr>
      </w:pPr>
      <w:r>
        <w:rPr>
          <w:rFonts w:cs="Times New Roman"/>
          <w:color w:val="auto"/>
          <w:highlight w:val="none"/>
        </w:rPr>
        <w:t>经统计，本工程实际占地总面积为</w:t>
      </w:r>
      <w:r>
        <w:rPr>
          <w:rFonts w:hint="eastAsia" w:cs="Times New Roman"/>
          <w:color w:val="auto"/>
          <w:highlight w:val="none"/>
          <w:lang w:eastAsia="zh-CN"/>
        </w:rPr>
        <w:t>4.45</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，其中</w:t>
      </w:r>
      <w:r>
        <w:rPr>
          <w:rFonts w:hint="eastAsia" w:cs="Times New Roman"/>
          <w:color w:val="auto"/>
          <w:highlight w:val="none"/>
        </w:rPr>
        <w:t>建构筑物工程</w:t>
      </w:r>
      <w:r>
        <w:rPr>
          <w:rFonts w:cs="Times New Roman"/>
          <w:color w:val="auto"/>
          <w:highlight w:val="none"/>
        </w:rPr>
        <w:t>占地面积</w:t>
      </w:r>
      <w:r>
        <w:rPr>
          <w:rFonts w:hint="eastAsia" w:cs="Times New Roman"/>
          <w:color w:val="auto"/>
          <w:highlight w:val="none"/>
          <w:lang w:eastAsia="zh-CN"/>
        </w:rPr>
        <w:t>2.77</w:t>
      </w:r>
      <w:r>
        <w:rPr>
          <w:rFonts w:hint="eastAsia" w:cs="Times New Roman"/>
          <w:color w:val="auto"/>
          <w:highlight w:val="none"/>
        </w:rPr>
        <w:t>h</w:t>
      </w:r>
      <w:r>
        <w:rPr>
          <w:rFonts w:cs="Times New Roman"/>
          <w:color w:val="auto"/>
          <w:highlight w:val="none"/>
        </w:rPr>
        <w:t>m</w:t>
      </w:r>
      <w:r>
        <w:rPr>
          <w:rFonts w:cs="Times New Roman"/>
          <w:color w:val="auto"/>
          <w:highlight w:val="none"/>
          <w:vertAlign w:val="superscript"/>
        </w:rPr>
        <w:t>2</w:t>
      </w:r>
      <w:r>
        <w:rPr>
          <w:rFonts w:cs="Times New Roman"/>
          <w:color w:val="auto"/>
          <w:highlight w:val="none"/>
        </w:rPr>
        <w:t>，</w:t>
      </w:r>
      <w:r>
        <w:rPr>
          <w:rFonts w:hint="eastAsia" w:cs="Times New Roman"/>
          <w:color w:val="auto"/>
          <w:highlight w:val="none"/>
        </w:rPr>
        <w:t>道路及硬化工程</w:t>
      </w:r>
      <w:r>
        <w:rPr>
          <w:rFonts w:cs="Times New Roman"/>
          <w:color w:val="auto"/>
          <w:highlight w:val="none"/>
        </w:rPr>
        <w:t>占地</w:t>
      </w:r>
      <w:r>
        <w:rPr>
          <w:rFonts w:hint="eastAsia" w:cs="Times New Roman"/>
          <w:color w:val="auto"/>
          <w:highlight w:val="none"/>
        </w:rPr>
        <w:t>1.47h</w:t>
      </w:r>
      <w:r>
        <w:rPr>
          <w:rFonts w:cs="Times New Roman"/>
          <w:color w:val="auto"/>
          <w:highlight w:val="none"/>
        </w:rPr>
        <w:t>m</w:t>
      </w:r>
      <w:r>
        <w:rPr>
          <w:rFonts w:cs="Times New Roman"/>
          <w:color w:val="auto"/>
          <w:highlight w:val="none"/>
          <w:vertAlign w:val="superscript"/>
        </w:rPr>
        <w:t>2</w:t>
      </w:r>
      <w:r>
        <w:rPr>
          <w:rFonts w:cs="Times New Roman"/>
          <w:color w:val="auto"/>
          <w:highlight w:val="none"/>
        </w:rPr>
        <w:t>，</w:t>
      </w:r>
      <w:r>
        <w:rPr>
          <w:rFonts w:hint="eastAsia" w:cs="Times New Roman"/>
          <w:color w:val="auto"/>
          <w:highlight w:val="none"/>
        </w:rPr>
        <w:t>绿化工程</w:t>
      </w:r>
      <w:r>
        <w:rPr>
          <w:rFonts w:cs="Times New Roman"/>
          <w:color w:val="auto"/>
          <w:highlight w:val="none"/>
        </w:rPr>
        <w:t>占地</w:t>
      </w:r>
      <w:r>
        <w:rPr>
          <w:rFonts w:hint="eastAsia" w:cs="Times New Roman"/>
          <w:color w:val="auto"/>
          <w:highlight w:val="none"/>
        </w:rPr>
        <w:t>0.21 h</w:t>
      </w:r>
      <w:r>
        <w:rPr>
          <w:rFonts w:cs="Times New Roman"/>
          <w:color w:val="auto"/>
          <w:highlight w:val="none"/>
        </w:rPr>
        <w:t>m</w:t>
      </w:r>
      <w:r>
        <w:rPr>
          <w:rFonts w:cs="Times New Roman"/>
          <w:color w:val="auto"/>
          <w:highlight w:val="none"/>
          <w:vertAlign w:val="superscript"/>
        </w:rPr>
        <w:t>2</w:t>
      </w:r>
      <w:r>
        <w:rPr>
          <w:rFonts w:cs="Times New Roman"/>
          <w:color w:val="auto"/>
          <w:highlight w:val="none"/>
        </w:rPr>
        <w:t>。</w:t>
      </w:r>
      <w:r>
        <w:rPr>
          <w:rFonts w:hint="eastAsia" w:cs="Times New Roman"/>
          <w:color w:val="auto"/>
          <w:highlight w:val="none"/>
          <w:lang w:val="en-US" w:eastAsia="zh-CN"/>
        </w:rPr>
        <w:t>临时工程</w:t>
      </w:r>
      <w:r>
        <w:rPr>
          <w:rFonts w:cs="Times New Roman"/>
          <w:color w:val="auto"/>
          <w:highlight w:val="none"/>
        </w:rPr>
        <w:t>占地面积</w:t>
      </w:r>
      <w:r>
        <w:rPr>
          <w:rFonts w:hint="eastAsia" w:cs="Times New Roman"/>
          <w:color w:val="auto"/>
          <w:highlight w:val="none"/>
          <w:lang w:val="en-US" w:eastAsia="zh-CN"/>
        </w:rPr>
        <w:t>0.08</w:t>
      </w:r>
      <w:r>
        <w:rPr>
          <w:rFonts w:cs="Times New Roman"/>
          <w:color w:val="auto"/>
          <w:highlight w:val="none"/>
        </w:rPr>
        <w:t>hm</w:t>
      </w:r>
      <w:r>
        <w:rPr>
          <w:rFonts w:cs="Times New Roman"/>
          <w:color w:val="auto"/>
          <w:highlight w:val="none"/>
          <w:vertAlign w:val="superscript"/>
        </w:rPr>
        <w:t>2</w:t>
      </w:r>
      <w:r>
        <w:rPr>
          <w:color w:val="auto"/>
          <w:highlight w:val="none"/>
        </w:rPr>
        <w:t>，</w:t>
      </w:r>
      <w:r>
        <w:rPr>
          <w:rFonts w:hint="eastAsia"/>
          <w:color w:val="auto"/>
          <w:highlight w:val="none"/>
          <w:lang w:val="en-US" w:eastAsia="zh-CN"/>
        </w:rPr>
        <w:t>位于永久占地范围内，不重复计列</w:t>
      </w:r>
      <w:r>
        <w:rPr>
          <w:rFonts w:cs="Times New Roman"/>
          <w:color w:val="auto"/>
          <w:highlight w:val="none"/>
        </w:rPr>
        <w:t>。</w:t>
      </w:r>
      <w:r>
        <w:rPr>
          <w:rFonts w:hint="eastAsia" w:cs="Times New Roman"/>
          <w:color w:val="auto"/>
          <w:highlight w:val="none"/>
          <w:lang w:val="en-US" w:eastAsia="zh-CN"/>
        </w:rPr>
        <w:t>故本项目实际情况与方案设计一致。</w:t>
      </w:r>
    </w:p>
    <w:p>
      <w:pPr>
        <w:ind w:firstLine="480"/>
        <w:rPr>
          <w:rFonts w:cs="Times New Roman"/>
          <w:color w:val="auto"/>
          <w:highlight w:val="none"/>
        </w:rPr>
      </w:pPr>
      <w:r>
        <w:rPr>
          <w:rFonts w:cs="Times New Roman"/>
          <w:color w:val="auto"/>
          <w:highlight w:val="none"/>
        </w:rPr>
        <w:t>占地面积与方案设计保持一致验收统计结果见表1.1-5。</w:t>
      </w:r>
    </w:p>
    <w:p>
      <w:pPr>
        <w:pStyle w:val="15"/>
        <w:rPr>
          <w:rFonts w:cs="Times New Roman"/>
          <w:color w:val="auto"/>
          <w:highlight w:val="none"/>
        </w:rPr>
      </w:pPr>
      <w:r>
        <w:rPr>
          <w:rFonts w:cs="Times New Roman"/>
          <w:color w:val="auto"/>
          <w:highlight w:val="none"/>
        </w:rPr>
        <w:t>表1.1-5 方案设计与工程实际占地面积表</w:t>
      </w:r>
      <w:r>
        <w:rPr>
          <w:rFonts w:hint="eastAsia" w:cs="Times New Roman"/>
          <w:color w:val="auto"/>
          <w:highlight w:val="none"/>
        </w:rPr>
        <w:t xml:space="preserve">      单位：hm</w:t>
      </w:r>
      <w:r>
        <w:rPr>
          <w:rFonts w:hint="eastAsia" w:cs="Times New Roman"/>
          <w:color w:val="auto"/>
          <w:highlight w:val="none"/>
          <w:vertAlign w:val="superscript"/>
        </w:rPr>
        <w:t>2</w:t>
      </w:r>
    </w:p>
    <w:tbl>
      <w:tblPr>
        <w:tblStyle w:val="11"/>
        <w:tblW w:w="4999"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979"/>
        <w:gridCol w:w="2761"/>
        <w:gridCol w:w="1453"/>
        <w:gridCol w:w="1453"/>
        <w:gridCol w:w="145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5" w:hRule="atLeast"/>
        </w:trPr>
        <w:tc>
          <w:tcPr>
            <w:tcW w:w="1087"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占用方式</w:t>
            </w:r>
          </w:p>
        </w:tc>
        <w:tc>
          <w:tcPr>
            <w:tcW w:w="1516" w:type="pct"/>
            <w:tcBorders>
              <w:tl2br w:val="nil"/>
              <w:tr2bl w:val="nil"/>
            </w:tcBorders>
            <w:shd w:val="clear" w:color="auto" w:fill="auto"/>
            <w:tcMar>
              <w:top w:w="15" w:type="dxa"/>
              <w:left w:w="15" w:type="dxa"/>
              <w:right w:w="15" w:type="dxa"/>
            </w:tcMar>
            <w:vAlign w:val="center"/>
          </w:tcPr>
          <w:p>
            <w:pPr>
              <w:pStyle w:val="16"/>
              <w:bidi w:val="0"/>
              <w:jc w:val="center"/>
              <w:rPr>
                <w:color w:val="auto"/>
                <w:highlight w:val="none"/>
              </w:rPr>
            </w:pPr>
            <w:r>
              <w:rPr>
                <w:rFonts w:hint="eastAsia"/>
                <w:color w:val="auto"/>
                <w:highlight w:val="none"/>
                <w:lang w:val="en-US" w:eastAsia="zh-CN"/>
              </w:rPr>
              <w:t>防治分区</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批复方案</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实际发生</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验收后</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0" w:hRule="atLeast"/>
        </w:trPr>
        <w:tc>
          <w:tcPr>
            <w:tcW w:w="1087"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永久占地</w:t>
            </w:r>
          </w:p>
        </w:tc>
        <w:tc>
          <w:tcPr>
            <w:tcW w:w="1516"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建构筑物区</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2.77</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2.77</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2.77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1516"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道路及硬化工程</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1.47</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1.47</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1.47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0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1516"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绿化工程</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0.21</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0.21</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0.21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2603" w:type="pct"/>
            <w:gridSpan w:val="2"/>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合计</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4.45</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4.45</w:t>
            </w:r>
          </w:p>
        </w:tc>
        <w:tc>
          <w:tcPr>
            <w:tcW w:w="79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4.45</w:t>
            </w:r>
          </w:p>
        </w:tc>
      </w:tr>
    </w:tbl>
    <w:p>
      <w:pPr>
        <w:pStyle w:val="4"/>
        <w:rPr>
          <w:rFonts w:cs="Times New Roman"/>
          <w:color w:val="auto"/>
          <w:highlight w:val="none"/>
        </w:rPr>
      </w:pPr>
      <w:r>
        <w:rPr>
          <w:rFonts w:cs="Times New Roman"/>
          <w:color w:val="auto"/>
          <w:highlight w:val="none"/>
        </w:rPr>
        <w:t>移民安置和专项设施改（迁）建</w:t>
      </w:r>
    </w:p>
    <w:p>
      <w:pPr>
        <w:ind w:firstLine="480"/>
        <w:rPr>
          <w:rFonts w:hint="eastAsia" w:eastAsia="仿宋" w:cs="Times New Roman"/>
          <w:color w:val="auto"/>
          <w:highlight w:val="none"/>
          <w:lang w:eastAsia="zh-CN"/>
        </w:rPr>
      </w:pPr>
      <w:r>
        <w:rPr>
          <w:rFonts w:hint="eastAsia" w:cs="Times New Roman"/>
          <w:color w:val="auto"/>
          <w:highlight w:val="none"/>
        </w:rPr>
        <w:t>本项目不涉及拆迁安置问题</w:t>
      </w:r>
      <w:r>
        <w:rPr>
          <w:rFonts w:hint="eastAsia" w:cs="Times New Roman"/>
          <w:color w:val="auto"/>
          <w:highlight w:val="none"/>
          <w:lang w:eastAsia="zh-CN"/>
        </w:rPr>
        <w:t>。</w:t>
      </w:r>
    </w:p>
    <w:p>
      <w:pPr>
        <w:pStyle w:val="3"/>
        <w:rPr>
          <w:rFonts w:cs="Times New Roman"/>
          <w:color w:val="auto"/>
          <w:highlight w:val="none"/>
        </w:rPr>
      </w:pPr>
      <w:bookmarkStart w:id="4" w:name="_Toc15774"/>
      <w:r>
        <w:rPr>
          <w:rFonts w:cs="Times New Roman"/>
          <w:color w:val="auto"/>
          <w:highlight w:val="none"/>
        </w:rPr>
        <w:t>项目区概况</w:t>
      </w:r>
      <w:bookmarkEnd w:id="4"/>
    </w:p>
    <w:p>
      <w:pPr>
        <w:pStyle w:val="4"/>
        <w:rPr>
          <w:rFonts w:cs="Times New Roman"/>
          <w:color w:val="auto"/>
          <w:highlight w:val="none"/>
        </w:rPr>
      </w:pPr>
      <w:r>
        <w:rPr>
          <w:rFonts w:cs="Times New Roman"/>
          <w:color w:val="auto"/>
          <w:highlight w:val="none"/>
        </w:rPr>
        <w:t>自然条件</w:t>
      </w:r>
    </w:p>
    <w:p>
      <w:pPr>
        <w:pStyle w:val="5"/>
        <w:rPr>
          <w:rFonts w:cs="Times New Roman"/>
          <w:color w:val="auto"/>
          <w:highlight w:val="none"/>
        </w:rPr>
      </w:pPr>
      <w:r>
        <w:rPr>
          <w:rFonts w:cs="Times New Roman"/>
          <w:color w:val="auto"/>
          <w:highlight w:val="none"/>
        </w:rPr>
        <w:t>地形地貌</w:t>
      </w:r>
    </w:p>
    <w:p>
      <w:pPr>
        <w:ind w:firstLine="480"/>
        <w:rPr>
          <w:rFonts w:cs="Times New Roman"/>
          <w:color w:val="auto"/>
          <w:highlight w:val="none"/>
        </w:rPr>
      </w:pPr>
      <w:r>
        <w:rPr>
          <w:rFonts w:hint="eastAsia" w:cs="Times New Roman"/>
          <w:color w:val="auto"/>
          <w:highlight w:val="none"/>
        </w:rPr>
        <w:t>工程场地位于天府新区新兴工业园，场地为浅丘地貌单元，地形整体较为平坦，局部存在深凹凼。拟建场地原地貌为耕地、林地、草地及园地，现已规划为工业用地，已进行了部分的地表清理工作。原地貌高程约507～514m，地块为西北-东南向长方形，整体北高南低、东高西低</w:t>
      </w:r>
      <w:r>
        <w:rPr>
          <w:rFonts w:cs="Times New Roman"/>
          <w:color w:val="auto"/>
          <w:highlight w:val="none"/>
        </w:rPr>
        <w:t>。</w:t>
      </w:r>
    </w:p>
    <w:p>
      <w:pPr>
        <w:pStyle w:val="5"/>
        <w:rPr>
          <w:rFonts w:cs="Times New Roman"/>
          <w:color w:val="auto"/>
          <w:highlight w:val="none"/>
        </w:rPr>
      </w:pPr>
      <w:r>
        <w:rPr>
          <w:rFonts w:hint="eastAsia" w:cs="Times New Roman"/>
          <w:color w:val="auto"/>
          <w:highlight w:val="none"/>
        </w:rPr>
        <w:t>地质</w:t>
      </w:r>
    </w:p>
    <w:p>
      <w:pPr>
        <w:ind w:firstLine="480"/>
        <w:rPr>
          <w:color w:val="auto"/>
          <w:highlight w:val="none"/>
        </w:rPr>
      </w:pPr>
      <w:r>
        <w:rPr>
          <w:rFonts w:hint="eastAsia"/>
          <w:color w:val="auto"/>
          <w:highlight w:val="none"/>
        </w:rPr>
        <w:t>（1）地质构造</w:t>
      </w:r>
    </w:p>
    <w:p>
      <w:pPr>
        <w:ind w:firstLine="480"/>
        <w:rPr>
          <w:color w:val="auto"/>
          <w:highlight w:val="none"/>
        </w:rPr>
      </w:pPr>
      <w:r>
        <w:rPr>
          <w:rFonts w:hint="eastAsia"/>
          <w:color w:val="auto"/>
          <w:highlight w:val="none"/>
        </w:rPr>
        <w:t>项目区构造属新华夏系第三沉降带四川盆地西部，成都坳陷中部东侧，处于北东走向的龙门山褶断带和龙泉山褶断带之间。由于受喜马拉雅山运动的影响，两构造带相对上升，坳陷盆地内堆积了厚度不等的第四系冰水堆积层和冲洪积层，形成现今平原景观。在成都平原下伏基岩内存在东北走向的浦江—新津断裂和新都—磨盘山断裂及其他次生断裂。但除浦江—新津断裂在第四纪以来有间隙性活动外，其他隐伏断裂近期无明显活动特征。总体而言，该区域地质构造稳定。</w:t>
      </w:r>
    </w:p>
    <w:p>
      <w:pPr>
        <w:ind w:firstLine="480"/>
        <w:rPr>
          <w:color w:val="auto"/>
          <w:highlight w:val="none"/>
        </w:rPr>
      </w:pPr>
      <w:r>
        <w:rPr>
          <w:rFonts w:hint="eastAsia"/>
          <w:color w:val="auto"/>
          <w:highlight w:val="none"/>
        </w:rPr>
        <w:t>（2）地层岩性</w:t>
      </w:r>
    </w:p>
    <w:p>
      <w:pPr>
        <w:adjustRightInd w:val="0"/>
        <w:snapToGrid w:val="0"/>
        <w:spacing w:line="360" w:lineRule="auto"/>
        <w:ind w:firstLine="480" w:firstLineChars="200"/>
        <w:rPr>
          <w:iCs/>
          <w:color w:val="auto"/>
          <w:sz w:val="24"/>
          <w:highlight w:val="none"/>
        </w:rPr>
      </w:pPr>
      <w:r>
        <w:rPr>
          <w:iCs/>
          <w:color w:val="auto"/>
          <w:sz w:val="24"/>
          <w:highlight w:val="none"/>
        </w:rPr>
        <w:t>根据地勘报告，拟建场地地基土主要</w:t>
      </w:r>
      <w:r>
        <w:rPr>
          <w:bCs/>
          <w:color w:val="auto"/>
          <w:sz w:val="24"/>
          <w:highlight w:val="none"/>
        </w:rPr>
        <w:t>分为四个工程地质层，即：</w:t>
      </w:r>
      <w:r>
        <w:rPr>
          <w:rFonts w:hAnsi="宋体"/>
          <w:bCs/>
          <w:color w:val="auto"/>
          <w:sz w:val="24"/>
          <w:highlight w:val="none"/>
        </w:rPr>
        <w:t>①</w:t>
      </w:r>
      <w:r>
        <w:rPr>
          <w:bCs/>
          <w:color w:val="auto"/>
          <w:sz w:val="24"/>
          <w:highlight w:val="none"/>
        </w:rPr>
        <w:t>第四系全新人工填土层（Q</w:t>
      </w:r>
      <w:r>
        <w:rPr>
          <w:bCs/>
          <w:color w:val="auto"/>
          <w:sz w:val="24"/>
          <w:highlight w:val="none"/>
          <w:vertAlign w:val="subscript"/>
        </w:rPr>
        <w:t>4</w:t>
      </w:r>
      <w:r>
        <w:rPr>
          <w:bCs/>
          <w:color w:val="auto"/>
          <w:sz w:val="24"/>
          <w:highlight w:val="none"/>
          <w:vertAlign w:val="superscript"/>
        </w:rPr>
        <w:t>ml</w:t>
      </w:r>
      <w:r>
        <w:rPr>
          <w:bCs/>
          <w:color w:val="auto"/>
          <w:sz w:val="24"/>
          <w:highlight w:val="none"/>
        </w:rPr>
        <w:t>）、②</w:t>
      </w:r>
      <w:r>
        <w:rPr>
          <w:rFonts w:hAnsi="宋体"/>
          <w:color w:val="auto"/>
          <w:sz w:val="24"/>
          <w:highlight w:val="none"/>
        </w:rPr>
        <w:t>第四系中下更新统冰水堆积粘土层（</w:t>
      </w:r>
      <w:r>
        <w:rPr>
          <w:color w:val="auto"/>
          <w:sz w:val="24"/>
          <w:highlight w:val="none"/>
        </w:rPr>
        <w:t>Q</w:t>
      </w:r>
      <w:r>
        <w:rPr>
          <w:color w:val="auto"/>
          <w:sz w:val="24"/>
          <w:highlight w:val="none"/>
          <w:vertAlign w:val="subscript"/>
        </w:rPr>
        <w:t>1+2</w:t>
      </w:r>
      <w:r>
        <w:rPr>
          <w:color w:val="auto"/>
          <w:sz w:val="24"/>
          <w:highlight w:val="none"/>
          <w:vertAlign w:val="superscript"/>
        </w:rPr>
        <w:t>fgl</w:t>
      </w:r>
      <w:r>
        <w:rPr>
          <w:rFonts w:hAnsi="宋体"/>
          <w:color w:val="auto"/>
          <w:sz w:val="24"/>
          <w:highlight w:val="none"/>
        </w:rPr>
        <w:t>）</w:t>
      </w:r>
      <w:r>
        <w:rPr>
          <w:bCs/>
          <w:color w:val="auto"/>
          <w:sz w:val="24"/>
          <w:highlight w:val="none"/>
        </w:rPr>
        <w:t>、③</w:t>
      </w:r>
      <w:r>
        <w:rPr>
          <w:rFonts w:hAnsi="宋体"/>
          <w:color w:val="auto"/>
          <w:sz w:val="24"/>
          <w:highlight w:val="none"/>
        </w:rPr>
        <w:t>第四系中下更新统冰水堆积粘土质卵石层（</w:t>
      </w:r>
      <w:r>
        <w:rPr>
          <w:color w:val="auto"/>
          <w:sz w:val="24"/>
          <w:highlight w:val="none"/>
        </w:rPr>
        <w:t>Q</w:t>
      </w:r>
      <w:r>
        <w:rPr>
          <w:color w:val="auto"/>
          <w:sz w:val="24"/>
          <w:highlight w:val="none"/>
          <w:vertAlign w:val="subscript"/>
        </w:rPr>
        <w:t>1+2</w:t>
      </w:r>
      <w:r>
        <w:rPr>
          <w:color w:val="auto"/>
          <w:sz w:val="24"/>
          <w:highlight w:val="none"/>
          <w:vertAlign w:val="superscript"/>
        </w:rPr>
        <w:t>fgl</w:t>
      </w:r>
      <w:r>
        <w:rPr>
          <w:rFonts w:hAnsi="宋体"/>
          <w:color w:val="auto"/>
          <w:sz w:val="24"/>
          <w:highlight w:val="none"/>
        </w:rPr>
        <w:t>）</w:t>
      </w:r>
      <w:r>
        <w:rPr>
          <w:bCs/>
          <w:color w:val="auto"/>
          <w:sz w:val="24"/>
          <w:highlight w:val="none"/>
        </w:rPr>
        <w:t>、</w:t>
      </w:r>
      <w:r>
        <w:rPr>
          <w:rFonts w:hAnsi="宋体"/>
          <w:color w:val="auto"/>
          <w:sz w:val="24"/>
          <w:highlight w:val="none"/>
        </w:rPr>
        <w:t>④</w:t>
      </w:r>
      <w:r>
        <w:rPr>
          <w:color w:val="auto"/>
          <w:sz w:val="24"/>
          <w:highlight w:val="none"/>
        </w:rPr>
        <w:t>白垩系灌口组砂质泥岩层（K</w:t>
      </w:r>
      <w:r>
        <w:rPr>
          <w:color w:val="auto"/>
          <w:sz w:val="24"/>
          <w:highlight w:val="none"/>
          <w:vertAlign w:val="subscript"/>
        </w:rPr>
        <w:t>2</w:t>
      </w:r>
      <w:r>
        <w:rPr>
          <w:color w:val="auto"/>
          <w:sz w:val="24"/>
          <w:highlight w:val="none"/>
        </w:rPr>
        <w:t>g）</w:t>
      </w:r>
      <w:r>
        <w:rPr>
          <w:iCs/>
          <w:color w:val="auto"/>
          <w:sz w:val="24"/>
          <w:highlight w:val="none"/>
        </w:rPr>
        <w:t>：</w:t>
      </w:r>
    </w:p>
    <w:p>
      <w:pPr>
        <w:spacing w:line="360" w:lineRule="auto"/>
        <w:ind w:firstLine="480" w:firstLineChars="200"/>
        <w:rPr>
          <w:bCs/>
          <w:color w:val="auto"/>
          <w:sz w:val="24"/>
          <w:highlight w:val="none"/>
        </w:rPr>
      </w:pPr>
      <w:r>
        <w:rPr>
          <w:bCs/>
          <w:color w:val="auto"/>
          <w:sz w:val="24"/>
          <w:highlight w:val="none"/>
        </w:rPr>
        <w:t>(1) 第四系全新人工填土层（Q</w:t>
      </w:r>
      <w:r>
        <w:rPr>
          <w:bCs/>
          <w:color w:val="auto"/>
          <w:sz w:val="24"/>
          <w:highlight w:val="none"/>
          <w:vertAlign w:val="subscript"/>
        </w:rPr>
        <w:t>4</w:t>
      </w:r>
      <w:r>
        <w:rPr>
          <w:bCs/>
          <w:color w:val="auto"/>
          <w:sz w:val="24"/>
          <w:highlight w:val="none"/>
          <w:vertAlign w:val="superscript"/>
        </w:rPr>
        <w:t>ml</w:t>
      </w:r>
      <w:r>
        <w:rPr>
          <w:bCs/>
          <w:color w:val="auto"/>
          <w:sz w:val="24"/>
          <w:highlight w:val="none"/>
        </w:rPr>
        <w:t>）</w:t>
      </w:r>
    </w:p>
    <w:p>
      <w:pPr>
        <w:spacing w:line="360" w:lineRule="auto"/>
        <w:ind w:firstLine="480" w:firstLineChars="200"/>
        <w:rPr>
          <w:color w:val="auto"/>
          <w:sz w:val="24"/>
          <w:highlight w:val="none"/>
        </w:rPr>
      </w:pPr>
      <w:r>
        <w:rPr>
          <w:rFonts w:hAnsi="宋体"/>
          <w:bCs/>
          <w:color w:val="auto"/>
          <w:sz w:val="24"/>
          <w:highlight w:val="none"/>
        </w:rPr>
        <w:t>①素填土：</w:t>
      </w:r>
      <w:r>
        <w:rPr>
          <w:rFonts w:hAnsi="宋体"/>
          <w:color w:val="auto"/>
          <w:sz w:val="24"/>
          <w:highlight w:val="none"/>
        </w:rPr>
        <w:t>该层呈黄褐色稍湿，结构疏松。主要为场地整平时回填基岩碎块及粘性土，整个场地范围分布，层</w:t>
      </w:r>
      <w:r>
        <w:rPr>
          <w:color w:val="auto"/>
          <w:sz w:val="24"/>
          <w:highlight w:val="none"/>
        </w:rPr>
        <w:t>厚3～6m。勘察期间正在回填。</w:t>
      </w:r>
    </w:p>
    <w:p>
      <w:pPr>
        <w:spacing w:line="360" w:lineRule="auto"/>
        <w:ind w:firstLine="480" w:firstLineChars="200"/>
        <w:rPr>
          <w:bCs/>
          <w:color w:val="auto"/>
          <w:sz w:val="24"/>
          <w:highlight w:val="none"/>
        </w:rPr>
      </w:pPr>
      <w:r>
        <w:rPr>
          <w:color w:val="auto"/>
          <w:sz w:val="24"/>
          <w:highlight w:val="none"/>
        </w:rPr>
        <w:t xml:space="preserve">(2) </w:t>
      </w:r>
      <w:r>
        <w:rPr>
          <w:rFonts w:hAnsi="宋体"/>
          <w:color w:val="auto"/>
          <w:sz w:val="24"/>
          <w:highlight w:val="none"/>
        </w:rPr>
        <w:t>第四系中下更新统冰水堆积粘土层（</w:t>
      </w:r>
      <w:r>
        <w:rPr>
          <w:color w:val="auto"/>
          <w:sz w:val="24"/>
          <w:highlight w:val="none"/>
        </w:rPr>
        <w:t>Q</w:t>
      </w:r>
      <w:r>
        <w:rPr>
          <w:color w:val="auto"/>
          <w:sz w:val="24"/>
          <w:highlight w:val="none"/>
          <w:vertAlign w:val="subscript"/>
        </w:rPr>
        <w:t>1+2</w:t>
      </w:r>
      <w:r>
        <w:rPr>
          <w:color w:val="auto"/>
          <w:sz w:val="24"/>
          <w:highlight w:val="none"/>
          <w:vertAlign w:val="superscript"/>
        </w:rPr>
        <w:t>fgl</w:t>
      </w:r>
      <w:r>
        <w:rPr>
          <w:rFonts w:hAnsi="宋体"/>
          <w:color w:val="auto"/>
          <w:sz w:val="24"/>
          <w:highlight w:val="none"/>
        </w:rPr>
        <w:t>）</w:t>
      </w:r>
    </w:p>
    <w:p>
      <w:pPr>
        <w:spacing w:line="360" w:lineRule="auto"/>
        <w:ind w:firstLine="200"/>
        <w:rPr>
          <w:color w:val="auto"/>
          <w:sz w:val="24"/>
          <w:highlight w:val="none"/>
        </w:rPr>
      </w:pPr>
      <w:r>
        <w:rPr>
          <w:bCs/>
          <w:color w:val="auto"/>
          <w:sz w:val="24"/>
          <w:highlight w:val="none"/>
        </w:rPr>
        <w:t>②</w:t>
      </w:r>
      <w:r>
        <w:rPr>
          <w:bCs/>
          <w:color w:val="auto"/>
          <w:sz w:val="24"/>
          <w:highlight w:val="none"/>
          <w:vertAlign w:val="subscript"/>
        </w:rPr>
        <w:t>1</w:t>
      </w:r>
      <w:r>
        <w:rPr>
          <w:color w:val="auto"/>
          <w:spacing w:val="-6"/>
          <w:sz w:val="24"/>
          <w:highlight w:val="none"/>
        </w:rPr>
        <w:t>软塑粘土</w:t>
      </w:r>
      <w:r>
        <w:rPr>
          <w:color w:val="auto"/>
          <w:sz w:val="24"/>
          <w:highlight w:val="none"/>
        </w:rPr>
        <w:t>：褐黄色，稍湿～较湿，含多量灰白色钙质结核及铁锰质氧化物，韧性及干强度高，切面光滑，无摇振反应，属高压缩性土，场地内局部分布。</w:t>
      </w:r>
    </w:p>
    <w:p>
      <w:pPr>
        <w:spacing w:line="360" w:lineRule="auto"/>
        <w:ind w:firstLine="200"/>
        <w:rPr>
          <w:color w:val="auto"/>
          <w:sz w:val="24"/>
          <w:highlight w:val="none"/>
        </w:rPr>
      </w:pPr>
      <w:r>
        <w:rPr>
          <w:bCs/>
          <w:color w:val="auto"/>
          <w:sz w:val="24"/>
          <w:highlight w:val="none"/>
        </w:rPr>
        <w:t>②</w:t>
      </w:r>
      <w:r>
        <w:rPr>
          <w:bCs/>
          <w:color w:val="auto"/>
          <w:sz w:val="24"/>
          <w:highlight w:val="none"/>
          <w:vertAlign w:val="subscript"/>
        </w:rPr>
        <w:t>2</w:t>
      </w:r>
      <w:r>
        <w:rPr>
          <w:color w:val="auto"/>
          <w:spacing w:val="-6"/>
          <w:sz w:val="24"/>
          <w:highlight w:val="none"/>
        </w:rPr>
        <w:t>可塑粘土</w:t>
      </w:r>
      <w:r>
        <w:rPr>
          <w:color w:val="auto"/>
          <w:sz w:val="24"/>
          <w:highlight w:val="none"/>
        </w:rPr>
        <w:t>：褐黄色，稍湿～较湿，含多量灰白色钙质结核及铁锰质氧化物，韧性及干强度高，切面光滑，无摇振反应，属中等压缩性土，分布于整个场地。</w:t>
      </w:r>
    </w:p>
    <w:p>
      <w:pPr>
        <w:spacing w:line="360" w:lineRule="auto"/>
        <w:ind w:firstLine="480" w:firstLineChars="200"/>
        <w:rPr>
          <w:color w:val="auto"/>
          <w:sz w:val="24"/>
          <w:highlight w:val="none"/>
        </w:rPr>
      </w:pPr>
      <w:r>
        <w:rPr>
          <w:bCs/>
          <w:color w:val="auto"/>
          <w:sz w:val="24"/>
          <w:highlight w:val="none"/>
        </w:rPr>
        <w:t xml:space="preserve">(3) </w:t>
      </w:r>
      <w:r>
        <w:rPr>
          <w:rFonts w:hAnsi="宋体"/>
          <w:color w:val="auto"/>
          <w:sz w:val="24"/>
          <w:highlight w:val="none"/>
        </w:rPr>
        <w:t>第四系中下更新统冰水堆积粘土质卵石层（</w:t>
      </w:r>
      <w:r>
        <w:rPr>
          <w:color w:val="auto"/>
          <w:sz w:val="24"/>
          <w:highlight w:val="none"/>
        </w:rPr>
        <w:t>Q</w:t>
      </w:r>
      <w:r>
        <w:rPr>
          <w:color w:val="auto"/>
          <w:sz w:val="24"/>
          <w:highlight w:val="none"/>
          <w:vertAlign w:val="subscript"/>
        </w:rPr>
        <w:t>1+2</w:t>
      </w:r>
      <w:r>
        <w:rPr>
          <w:color w:val="auto"/>
          <w:sz w:val="24"/>
          <w:highlight w:val="none"/>
          <w:vertAlign w:val="superscript"/>
        </w:rPr>
        <w:t>fgl</w:t>
      </w:r>
      <w:r>
        <w:rPr>
          <w:rFonts w:hAnsi="宋体"/>
          <w:color w:val="auto"/>
          <w:sz w:val="24"/>
          <w:highlight w:val="none"/>
        </w:rPr>
        <w:t>）</w:t>
      </w:r>
    </w:p>
    <w:p>
      <w:pPr>
        <w:spacing w:line="360" w:lineRule="auto"/>
        <w:ind w:firstLine="480" w:firstLineChars="200"/>
        <w:rPr>
          <w:color w:val="auto"/>
          <w:sz w:val="24"/>
          <w:highlight w:val="none"/>
        </w:rPr>
      </w:pPr>
      <w:r>
        <w:rPr>
          <w:bCs/>
          <w:color w:val="auto"/>
          <w:sz w:val="24"/>
          <w:highlight w:val="none"/>
        </w:rPr>
        <w:t>③</w:t>
      </w:r>
      <w:r>
        <w:rPr>
          <w:rFonts w:hAnsi="宋体"/>
          <w:color w:val="auto"/>
          <w:sz w:val="24"/>
          <w:highlight w:val="none"/>
        </w:rPr>
        <w:t>粘土质卵石</w:t>
      </w:r>
      <w:r>
        <w:rPr>
          <w:color w:val="auto"/>
          <w:sz w:val="24"/>
          <w:highlight w:val="none"/>
        </w:rPr>
        <w:t>：</w:t>
      </w:r>
      <w:r>
        <w:rPr>
          <w:rFonts w:hAnsi="宋体"/>
          <w:color w:val="auto"/>
          <w:sz w:val="24"/>
          <w:highlight w:val="none"/>
        </w:rPr>
        <w:t>俗称</w:t>
      </w:r>
      <w:r>
        <w:rPr>
          <w:color w:val="auto"/>
          <w:sz w:val="24"/>
          <w:highlight w:val="none"/>
        </w:rPr>
        <w:t>“</w:t>
      </w:r>
      <w:r>
        <w:rPr>
          <w:rFonts w:hAnsi="宋体"/>
          <w:color w:val="auto"/>
          <w:sz w:val="24"/>
          <w:highlight w:val="none"/>
        </w:rPr>
        <w:t>泥夹石</w:t>
      </w:r>
      <w:r>
        <w:rPr>
          <w:color w:val="auto"/>
          <w:sz w:val="24"/>
          <w:highlight w:val="none"/>
        </w:rPr>
        <w:t>”</w:t>
      </w:r>
      <w:r>
        <w:rPr>
          <w:rFonts w:hAnsi="宋体"/>
          <w:color w:val="auto"/>
          <w:sz w:val="24"/>
          <w:highlight w:val="none"/>
        </w:rPr>
        <w:t>。场地内局部分布，位于粘性土层之下，主要呈稍密状，卵石母岩成分主要有石英岩、花岗岩等。呈褐黄色或灰色，圆形、亚圆形，颗粒粒径一</w:t>
      </w:r>
      <w:r>
        <w:rPr>
          <w:color w:val="auto"/>
          <w:sz w:val="24"/>
          <w:highlight w:val="none"/>
        </w:rPr>
        <w:t>般在6cm～14cm之间，其间为粘性土充填。</w:t>
      </w:r>
    </w:p>
    <w:p>
      <w:pPr>
        <w:spacing w:line="360" w:lineRule="auto"/>
        <w:ind w:firstLine="480" w:firstLineChars="200"/>
        <w:rPr>
          <w:color w:val="auto"/>
          <w:sz w:val="24"/>
          <w:highlight w:val="none"/>
        </w:rPr>
      </w:pPr>
      <w:r>
        <w:rPr>
          <w:bCs/>
          <w:color w:val="auto"/>
          <w:sz w:val="24"/>
          <w:highlight w:val="none"/>
        </w:rPr>
        <w:t xml:space="preserve">(4) </w:t>
      </w:r>
      <w:r>
        <w:rPr>
          <w:color w:val="auto"/>
          <w:sz w:val="24"/>
          <w:highlight w:val="none"/>
        </w:rPr>
        <w:t>白垩系灌口组砂质泥岩层（K</w:t>
      </w:r>
      <w:r>
        <w:rPr>
          <w:color w:val="auto"/>
          <w:sz w:val="24"/>
          <w:highlight w:val="none"/>
          <w:vertAlign w:val="subscript"/>
        </w:rPr>
        <w:t>2</w:t>
      </w:r>
      <w:r>
        <w:rPr>
          <w:color w:val="auto"/>
          <w:sz w:val="24"/>
          <w:highlight w:val="none"/>
        </w:rPr>
        <w:t>g）</w:t>
      </w:r>
    </w:p>
    <w:p>
      <w:pPr>
        <w:spacing w:line="360" w:lineRule="auto"/>
        <w:ind w:firstLine="480" w:firstLineChars="200"/>
        <w:rPr>
          <w:color w:val="auto"/>
          <w:sz w:val="24"/>
          <w:highlight w:val="none"/>
        </w:rPr>
      </w:pPr>
      <w:r>
        <w:rPr>
          <w:rFonts w:hAnsi="宋体"/>
          <w:color w:val="auto"/>
          <w:sz w:val="24"/>
          <w:highlight w:val="none"/>
        </w:rPr>
        <w:t>④</w:t>
      </w:r>
      <w:r>
        <w:rPr>
          <w:bCs/>
          <w:color w:val="auto"/>
          <w:sz w:val="24"/>
          <w:highlight w:val="none"/>
          <w:vertAlign w:val="subscript"/>
        </w:rPr>
        <w:t>1</w:t>
      </w:r>
      <w:r>
        <w:rPr>
          <w:color w:val="auto"/>
          <w:sz w:val="24"/>
          <w:highlight w:val="none"/>
        </w:rPr>
        <w:t>全风化砂质泥岩：褐红色、紫红色，</w:t>
      </w:r>
      <w:r>
        <w:rPr>
          <w:bCs/>
          <w:color w:val="auto"/>
          <w:sz w:val="24"/>
          <w:highlight w:val="none"/>
        </w:rPr>
        <w:t>岩体结构极破碎，已风化成土状，主要呈可塑状，用手揉搓成粉末状，</w:t>
      </w:r>
      <w:r>
        <w:rPr>
          <w:color w:val="auto"/>
          <w:sz w:val="24"/>
          <w:highlight w:val="none"/>
        </w:rPr>
        <w:t>分布于整个场地</w:t>
      </w:r>
      <w:r>
        <w:rPr>
          <w:bCs/>
          <w:color w:val="auto"/>
          <w:sz w:val="24"/>
          <w:highlight w:val="none"/>
        </w:rPr>
        <w:t>。</w:t>
      </w:r>
    </w:p>
    <w:p>
      <w:pPr>
        <w:spacing w:line="360" w:lineRule="auto"/>
        <w:ind w:firstLine="480" w:firstLineChars="200"/>
        <w:rPr>
          <w:color w:val="auto"/>
          <w:sz w:val="24"/>
          <w:highlight w:val="none"/>
        </w:rPr>
      </w:pPr>
      <w:r>
        <w:rPr>
          <w:rFonts w:hAnsi="宋体"/>
          <w:color w:val="auto"/>
          <w:sz w:val="24"/>
          <w:highlight w:val="none"/>
        </w:rPr>
        <w:t>④</w:t>
      </w:r>
      <w:r>
        <w:rPr>
          <w:bCs/>
          <w:color w:val="auto"/>
          <w:sz w:val="24"/>
          <w:highlight w:val="none"/>
          <w:vertAlign w:val="subscript"/>
        </w:rPr>
        <w:t>2</w:t>
      </w:r>
      <w:r>
        <w:rPr>
          <w:color w:val="auto"/>
          <w:sz w:val="24"/>
          <w:highlight w:val="none"/>
        </w:rPr>
        <w:t>强风化砂质泥岩：褐红色、紫红色，组织结构大部分破坏，</w:t>
      </w:r>
      <w:r>
        <w:rPr>
          <w:color w:val="auto"/>
          <w:sz w:val="24"/>
          <w:szCs w:val="28"/>
          <w:highlight w:val="none"/>
        </w:rPr>
        <w:t>原岩结构不甚清晰</w:t>
      </w:r>
      <w:r>
        <w:rPr>
          <w:color w:val="auto"/>
          <w:sz w:val="24"/>
          <w:highlight w:val="none"/>
        </w:rPr>
        <w:t>，风化裂隙发育，用镐可挖掘，短柱状，岩体浸水迅速软化、崩解。</w:t>
      </w:r>
    </w:p>
    <w:p>
      <w:pPr>
        <w:ind w:firstLine="480"/>
        <w:rPr>
          <w:color w:val="auto"/>
          <w:highlight w:val="none"/>
        </w:rPr>
      </w:pPr>
      <w:r>
        <w:rPr>
          <w:rFonts w:hAnsi="宋体"/>
          <w:color w:val="auto"/>
          <w:sz w:val="24"/>
          <w:highlight w:val="none"/>
        </w:rPr>
        <w:t>④</w:t>
      </w:r>
      <w:r>
        <w:rPr>
          <w:bCs/>
          <w:color w:val="auto"/>
          <w:sz w:val="24"/>
          <w:highlight w:val="none"/>
          <w:vertAlign w:val="subscript"/>
        </w:rPr>
        <w:t>3</w:t>
      </w:r>
      <w:r>
        <w:rPr>
          <w:color w:val="auto"/>
          <w:sz w:val="24"/>
          <w:highlight w:val="none"/>
        </w:rPr>
        <w:t>中等风化砂质泥岩：褐红色、紫红色，</w:t>
      </w:r>
      <w:r>
        <w:rPr>
          <w:rFonts w:hAnsi="宋体"/>
          <w:color w:val="auto"/>
          <w:sz w:val="24"/>
          <w:highlight w:val="none"/>
        </w:rPr>
        <w:t>岩体结构清晰，岩体较完整，裂隙较发育，局部夹有强风化薄层，间隙充填褐色氧化铁、锰薄膜等。钻探取芯多呈</w:t>
      </w:r>
      <w:r>
        <w:rPr>
          <w:color w:val="auto"/>
          <w:sz w:val="24"/>
          <w:highlight w:val="none"/>
        </w:rPr>
        <w:t>10</w:t>
      </w:r>
      <w:r>
        <w:rPr>
          <w:rFonts w:hAnsi="宋体"/>
          <w:color w:val="auto"/>
          <w:sz w:val="24"/>
          <w:highlight w:val="none"/>
        </w:rPr>
        <w:t>～</w:t>
      </w:r>
      <w:r>
        <w:rPr>
          <w:color w:val="auto"/>
          <w:sz w:val="24"/>
          <w:highlight w:val="none"/>
        </w:rPr>
        <w:t>30cm</w:t>
      </w:r>
      <w:r>
        <w:rPr>
          <w:rFonts w:hAnsi="宋体"/>
          <w:color w:val="auto"/>
          <w:sz w:val="24"/>
          <w:highlight w:val="none"/>
        </w:rPr>
        <w:t>长柱状，局部呈碎块或短柱状</w:t>
      </w:r>
      <w:r>
        <w:rPr>
          <w:rFonts w:hint="eastAsia"/>
          <w:color w:val="auto"/>
          <w:highlight w:val="none"/>
        </w:rPr>
        <w:t>。</w:t>
      </w:r>
    </w:p>
    <w:p>
      <w:pPr>
        <w:pStyle w:val="5"/>
        <w:rPr>
          <w:rFonts w:cs="Times New Roman"/>
          <w:color w:val="auto"/>
          <w:highlight w:val="none"/>
        </w:rPr>
      </w:pPr>
      <w:r>
        <w:rPr>
          <w:rFonts w:cs="Times New Roman"/>
          <w:color w:val="auto"/>
          <w:highlight w:val="none"/>
        </w:rPr>
        <w:t>气象</w:t>
      </w:r>
    </w:p>
    <w:p>
      <w:pPr>
        <w:ind w:firstLine="480"/>
        <w:rPr>
          <w:rFonts w:cs="Times New Roman"/>
          <w:color w:val="auto"/>
          <w:highlight w:val="none"/>
        </w:rPr>
      </w:pPr>
      <w:r>
        <w:rPr>
          <w:rFonts w:hint="eastAsia" w:cs="Times New Roman"/>
          <w:color w:val="auto"/>
          <w:highlight w:val="none"/>
        </w:rPr>
        <w:t>项目区属于亚热带湿润季风气候，具有热量丰富，雨量充沛，四季分明，雨热同季等特点。多年平均温度16.20℃，≥10℃积温5450℃。全年雨量充沛，年平均值947.0mm，汛期为每年的5～10月，降雨主要集中在7、8月。日照偏少，年平均日照1228.30h，太阳辐射量为90.94千卡/cm</w:t>
      </w:r>
      <w:r>
        <w:rPr>
          <w:rFonts w:hint="eastAsia" w:cs="Times New Roman"/>
          <w:color w:val="auto"/>
          <w:highlight w:val="none"/>
          <w:vertAlign w:val="superscript"/>
        </w:rPr>
        <w:t>2</w:t>
      </w:r>
      <w:r>
        <w:rPr>
          <w:rFonts w:hint="eastAsia" w:cs="Times New Roman"/>
          <w:color w:val="auto"/>
          <w:highlight w:val="none"/>
        </w:rPr>
        <w:t>，属全国低值区。全年无霜期为278天，初霜期一般出现在11月底，终霜期一般在2月下旬。相对湿度的多年平均值为82%，蒸发量的年平均值为1020.50mm。多年平均风速为1.2m/s，主导风向为NNE。</w:t>
      </w:r>
    </w:p>
    <w:p>
      <w:pPr>
        <w:ind w:firstLine="480"/>
        <w:rPr>
          <w:rFonts w:cs="Times New Roman"/>
          <w:color w:val="auto"/>
          <w:highlight w:val="none"/>
        </w:rPr>
      </w:pPr>
      <w:r>
        <w:rPr>
          <w:rFonts w:hint="eastAsia" w:cs="Times New Roman"/>
          <w:color w:val="auto"/>
          <w:highlight w:val="none"/>
        </w:rPr>
        <w:t>相关气象指标见下</w:t>
      </w:r>
      <w:r>
        <w:rPr>
          <w:rFonts w:cs="Times New Roman"/>
          <w:color w:val="auto"/>
          <w:highlight w:val="none"/>
        </w:rPr>
        <w:t>表。</w:t>
      </w:r>
    </w:p>
    <w:p>
      <w:pPr>
        <w:pStyle w:val="6"/>
        <w:rPr>
          <w:rFonts w:cs="Times New Roman"/>
          <w:color w:val="auto"/>
          <w:highlight w:val="none"/>
        </w:rPr>
      </w:pPr>
      <w:r>
        <w:rPr>
          <w:rFonts w:cs="Times New Roman"/>
          <w:color w:val="auto"/>
          <w:highlight w:val="none"/>
        </w:rPr>
        <w:t>表 1.2</w:t>
      </w:r>
      <w:r>
        <w:rPr>
          <w:rFonts w:cs="Times New Roman"/>
          <w:color w:val="auto"/>
          <w:highlight w:val="none"/>
        </w:rPr>
        <w:noBreakHyphen/>
      </w:r>
      <w:r>
        <w:rPr>
          <w:rFonts w:cs="Times New Roman"/>
          <w:color w:val="auto"/>
          <w:highlight w:val="none"/>
        </w:rPr>
        <w:fldChar w:fldCharType="begin"/>
      </w:r>
      <w:r>
        <w:rPr>
          <w:rFonts w:cs="Times New Roman"/>
          <w:color w:val="auto"/>
          <w:highlight w:val="none"/>
        </w:rPr>
        <w:instrText xml:space="preserve"> SEQ 表 \* ARABIC \s 2 </w:instrText>
      </w:r>
      <w:r>
        <w:rPr>
          <w:rFonts w:cs="Times New Roman"/>
          <w:color w:val="auto"/>
          <w:highlight w:val="none"/>
        </w:rPr>
        <w:fldChar w:fldCharType="separate"/>
      </w:r>
      <w:r>
        <w:rPr>
          <w:rFonts w:cs="Times New Roman"/>
          <w:color w:val="auto"/>
          <w:highlight w:val="none"/>
        </w:rPr>
        <w:t>1</w:t>
      </w:r>
      <w:r>
        <w:rPr>
          <w:rFonts w:cs="Times New Roman"/>
          <w:color w:val="auto"/>
          <w:highlight w:val="none"/>
        </w:rPr>
        <w:fldChar w:fldCharType="end"/>
      </w:r>
      <w:r>
        <w:rPr>
          <w:rFonts w:cs="Times New Roman"/>
          <w:color w:val="auto"/>
          <w:highlight w:val="none"/>
        </w:rPr>
        <w:t>项目区气象特征表</w:t>
      </w:r>
    </w:p>
    <w:tbl>
      <w:tblPr>
        <w:tblStyle w:val="11"/>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3022"/>
        <w:gridCol w:w="3025"/>
        <w:gridCol w:w="302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restart"/>
            <w:tcBorders>
              <w:tl2br w:val="nil"/>
              <w:tr2bl w:val="nil"/>
            </w:tcBorders>
            <w:noWrap w:val="0"/>
            <w:vAlign w:val="center"/>
          </w:tcPr>
          <w:p>
            <w:pPr>
              <w:pStyle w:val="16"/>
              <w:bidi w:val="0"/>
              <w:rPr>
                <w:color w:val="auto"/>
                <w:highlight w:val="none"/>
              </w:rPr>
            </w:pPr>
            <w:r>
              <w:rPr>
                <w:color w:val="auto"/>
                <w:highlight w:val="none"/>
              </w:rPr>
              <w:t>气温(</w:t>
            </w:r>
            <w:r>
              <w:rPr>
                <w:rFonts w:hint="eastAsia"/>
                <w:color w:val="auto"/>
                <w:highlight w:val="none"/>
              </w:rPr>
              <w:t>℃</w:t>
            </w:r>
            <w:r>
              <w:rPr>
                <w:color w:val="auto"/>
                <w:highlight w:val="none"/>
              </w:rPr>
              <w:t>)</w:t>
            </w:r>
          </w:p>
        </w:tc>
        <w:tc>
          <w:tcPr>
            <w:tcW w:w="1666" w:type="pct"/>
            <w:tcBorders>
              <w:tl2br w:val="nil"/>
              <w:tr2bl w:val="nil"/>
            </w:tcBorders>
            <w:noWrap w:val="0"/>
            <w:vAlign w:val="center"/>
          </w:tcPr>
          <w:p>
            <w:pPr>
              <w:pStyle w:val="16"/>
              <w:bidi w:val="0"/>
              <w:rPr>
                <w:color w:val="auto"/>
                <w:highlight w:val="none"/>
              </w:rPr>
            </w:pPr>
            <w:r>
              <w:rPr>
                <w:color w:val="auto"/>
                <w:highlight w:val="none"/>
              </w:rPr>
              <w:t>多年平均</w:t>
            </w:r>
          </w:p>
        </w:tc>
        <w:tc>
          <w:tcPr>
            <w:tcW w:w="1666" w:type="pct"/>
            <w:tcBorders>
              <w:tl2br w:val="nil"/>
              <w:tr2bl w:val="nil"/>
            </w:tcBorders>
            <w:noWrap w:val="0"/>
            <w:vAlign w:val="center"/>
          </w:tcPr>
          <w:p>
            <w:pPr>
              <w:pStyle w:val="16"/>
              <w:bidi w:val="0"/>
              <w:rPr>
                <w:color w:val="auto"/>
                <w:highlight w:val="none"/>
              </w:rPr>
            </w:pPr>
            <w:r>
              <w:rPr>
                <w:color w:val="auto"/>
                <w:highlight w:val="none"/>
              </w:rPr>
              <w:t>16.20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16"/>
              <w:bidi w:val="0"/>
              <w:rPr>
                <w:color w:val="auto"/>
                <w:highlight w:val="none"/>
              </w:rPr>
            </w:pPr>
          </w:p>
        </w:tc>
        <w:tc>
          <w:tcPr>
            <w:tcW w:w="1666" w:type="pct"/>
            <w:tcBorders>
              <w:tl2br w:val="nil"/>
              <w:tr2bl w:val="nil"/>
            </w:tcBorders>
            <w:noWrap w:val="0"/>
            <w:vAlign w:val="center"/>
          </w:tcPr>
          <w:p>
            <w:pPr>
              <w:pStyle w:val="16"/>
              <w:bidi w:val="0"/>
              <w:rPr>
                <w:color w:val="auto"/>
                <w:highlight w:val="none"/>
              </w:rPr>
            </w:pPr>
            <w:r>
              <w:rPr>
                <w:color w:val="auto"/>
                <w:highlight w:val="none"/>
              </w:rPr>
              <w:t>极端最高</w:t>
            </w:r>
          </w:p>
        </w:tc>
        <w:tc>
          <w:tcPr>
            <w:tcW w:w="1666" w:type="pct"/>
            <w:tcBorders>
              <w:tl2br w:val="nil"/>
              <w:tr2bl w:val="nil"/>
            </w:tcBorders>
            <w:noWrap w:val="0"/>
            <w:vAlign w:val="center"/>
          </w:tcPr>
          <w:p>
            <w:pPr>
              <w:pStyle w:val="16"/>
              <w:bidi w:val="0"/>
              <w:rPr>
                <w:color w:val="auto"/>
                <w:highlight w:val="none"/>
              </w:rPr>
            </w:pPr>
            <w:r>
              <w:rPr>
                <w:color w:val="auto"/>
                <w:highlight w:val="none"/>
              </w:rPr>
              <w:t>37.30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16"/>
              <w:bidi w:val="0"/>
              <w:rPr>
                <w:color w:val="auto"/>
                <w:highlight w:val="none"/>
              </w:rPr>
            </w:pPr>
          </w:p>
        </w:tc>
        <w:tc>
          <w:tcPr>
            <w:tcW w:w="1666" w:type="pct"/>
            <w:tcBorders>
              <w:tl2br w:val="nil"/>
              <w:tr2bl w:val="nil"/>
            </w:tcBorders>
            <w:noWrap w:val="0"/>
            <w:vAlign w:val="center"/>
          </w:tcPr>
          <w:p>
            <w:pPr>
              <w:pStyle w:val="16"/>
              <w:bidi w:val="0"/>
              <w:rPr>
                <w:color w:val="auto"/>
                <w:highlight w:val="none"/>
              </w:rPr>
            </w:pPr>
            <w:r>
              <w:rPr>
                <w:color w:val="auto"/>
                <w:highlight w:val="none"/>
              </w:rPr>
              <w:t>极端最低</w:t>
            </w:r>
          </w:p>
        </w:tc>
        <w:tc>
          <w:tcPr>
            <w:tcW w:w="1666" w:type="pct"/>
            <w:tcBorders>
              <w:tl2br w:val="nil"/>
              <w:tr2bl w:val="nil"/>
            </w:tcBorders>
            <w:noWrap w:val="0"/>
            <w:vAlign w:val="center"/>
          </w:tcPr>
          <w:p>
            <w:pPr>
              <w:pStyle w:val="16"/>
              <w:bidi w:val="0"/>
              <w:rPr>
                <w:color w:val="auto"/>
                <w:highlight w:val="none"/>
              </w:rPr>
            </w:pPr>
            <w:r>
              <w:rPr>
                <w:color w:val="auto"/>
                <w:highlight w:val="none"/>
              </w:rPr>
              <w:t>-5.90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27" w:hRule="atLeast"/>
          <w:jc w:val="center"/>
        </w:trPr>
        <w:tc>
          <w:tcPr>
            <w:tcW w:w="1666" w:type="pct"/>
            <w:vMerge w:val="restart"/>
            <w:tcBorders>
              <w:tl2br w:val="nil"/>
              <w:tr2bl w:val="nil"/>
            </w:tcBorders>
            <w:noWrap w:val="0"/>
            <w:vAlign w:val="center"/>
          </w:tcPr>
          <w:p>
            <w:pPr>
              <w:pStyle w:val="16"/>
              <w:bidi w:val="0"/>
              <w:rPr>
                <w:color w:val="auto"/>
                <w:highlight w:val="none"/>
              </w:rPr>
            </w:pPr>
            <w:r>
              <w:rPr>
                <w:color w:val="auto"/>
                <w:highlight w:val="none"/>
              </w:rPr>
              <w:t>年降雨量</w:t>
            </w:r>
          </w:p>
          <w:p>
            <w:pPr>
              <w:pStyle w:val="16"/>
              <w:bidi w:val="0"/>
              <w:rPr>
                <w:color w:val="auto"/>
                <w:highlight w:val="none"/>
              </w:rPr>
            </w:pPr>
            <w:r>
              <w:rPr>
                <w:color w:val="auto"/>
                <w:highlight w:val="none"/>
              </w:rPr>
              <w:t>(mm)</w:t>
            </w:r>
          </w:p>
        </w:tc>
        <w:tc>
          <w:tcPr>
            <w:tcW w:w="1666" w:type="pct"/>
            <w:tcBorders>
              <w:tl2br w:val="nil"/>
              <w:tr2bl w:val="nil"/>
            </w:tcBorders>
            <w:noWrap w:val="0"/>
            <w:vAlign w:val="center"/>
          </w:tcPr>
          <w:p>
            <w:pPr>
              <w:pStyle w:val="16"/>
              <w:bidi w:val="0"/>
              <w:rPr>
                <w:color w:val="auto"/>
                <w:highlight w:val="none"/>
              </w:rPr>
            </w:pPr>
            <w:r>
              <w:rPr>
                <w:color w:val="auto"/>
                <w:highlight w:val="none"/>
              </w:rPr>
              <w:t>多年平均</w:t>
            </w:r>
          </w:p>
        </w:tc>
        <w:tc>
          <w:tcPr>
            <w:tcW w:w="1666" w:type="pct"/>
            <w:tcBorders>
              <w:tl2br w:val="nil"/>
              <w:tr2bl w:val="nil"/>
            </w:tcBorders>
            <w:noWrap w:val="0"/>
            <w:vAlign w:val="center"/>
          </w:tcPr>
          <w:p>
            <w:pPr>
              <w:pStyle w:val="16"/>
              <w:bidi w:val="0"/>
              <w:rPr>
                <w:color w:val="auto"/>
                <w:highlight w:val="none"/>
              </w:rPr>
            </w:pPr>
            <w:r>
              <w:rPr>
                <w:color w:val="auto"/>
                <w:highlight w:val="none"/>
              </w:rPr>
              <w:t>947.0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16"/>
              <w:bidi w:val="0"/>
              <w:rPr>
                <w:color w:val="auto"/>
                <w:highlight w:val="none"/>
              </w:rPr>
            </w:pPr>
          </w:p>
        </w:tc>
        <w:tc>
          <w:tcPr>
            <w:tcW w:w="1666" w:type="pct"/>
            <w:tcBorders>
              <w:tl2br w:val="nil"/>
              <w:tr2bl w:val="nil"/>
            </w:tcBorders>
            <w:noWrap w:val="0"/>
            <w:vAlign w:val="center"/>
          </w:tcPr>
          <w:p>
            <w:pPr>
              <w:pStyle w:val="16"/>
              <w:bidi w:val="0"/>
              <w:rPr>
                <w:color w:val="auto"/>
                <w:highlight w:val="none"/>
              </w:rPr>
            </w:pPr>
            <w:r>
              <w:rPr>
                <w:color w:val="auto"/>
                <w:highlight w:val="none"/>
              </w:rPr>
              <w:t>最大</w:t>
            </w:r>
          </w:p>
        </w:tc>
        <w:tc>
          <w:tcPr>
            <w:tcW w:w="1666" w:type="pct"/>
            <w:tcBorders>
              <w:tl2br w:val="nil"/>
              <w:tr2bl w:val="nil"/>
            </w:tcBorders>
            <w:noWrap w:val="0"/>
            <w:vAlign w:val="center"/>
          </w:tcPr>
          <w:p>
            <w:pPr>
              <w:pStyle w:val="16"/>
              <w:bidi w:val="0"/>
              <w:rPr>
                <w:color w:val="auto"/>
                <w:highlight w:val="none"/>
              </w:rPr>
            </w:pPr>
            <w:r>
              <w:rPr>
                <w:color w:val="auto"/>
                <w:highlight w:val="none"/>
              </w:rPr>
              <w:t>1241.70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16"/>
              <w:bidi w:val="0"/>
              <w:rPr>
                <w:color w:val="auto"/>
                <w:highlight w:val="none"/>
              </w:rPr>
            </w:pPr>
          </w:p>
        </w:tc>
        <w:tc>
          <w:tcPr>
            <w:tcW w:w="1666" w:type="pct"/>
            <w:tcBorders>
              <w:tl2br w:val="nil"/>
              <w:tr2bl w:val="nil"/>
            </w:tcBorders>
            <w:noWrap w:val="0"/>
            <w:vAlign w:val="center"/>
          </w:tcPr>
          <w:p>
            <w:pPr>
              <w:pStyle w:val="16"/>
              <w:bidi w:val="0"/>
              <w:rPr>
                <w:color w:val="auto"/>
                <w:highlight w:val="none"/>
              </w:rPr>
            </w:pPr>
            <w:r>
              <w:rPr>
                <w:color w:val="auto"/>
                <w:highlight w:val="none"/>
              </w:rPr>
              <w:t>最小</w:t>
            </w:r>
          </w:p>
        </w:tc>
        <w:tc>
          <w:tcPr>
            <w:tcW w:w="1666" w:type="pct"/>
            <w:tcBorders>
              <w:tl2br w:val="nil"/>
              <w:tr2bl w:val="nil"/>
            </w:tcBorders>
            <w:noWrap w:val="0"/>
            <w:vAlign w:val="center"/>
          </w:tcPr>
          <w:p>
            <w:pPr>
              <w:pStyle w:val="16"/>
              <w:bidi w:val="0"/>
              <w:rPr>
                <w:color w:val="auto"/>
                <w:highlight w:val="none"/>
              </w:rPr>
            </w:pPr>
            <w:r>
              <w:rPr>
                <w:color w:val="auto"/>
                <w:highlight w:val="none"/>
              </w:rPr>
              <w:t>754.90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1666" w:type="pct"/>
            <w:vMerge w:val="restart"/>
            <w:tcBorders>
              <w:tl2br w:val="nil"/>
              <w:tr2bl w:val="nil"/>
            </w:tcBorders>
            <w:noWrap w:val="0"/>
            <w:vAlign w:val="center"/>
          </w:tcPr>
          <w:p>
            <w:pPr>
              <w:pStyle w:val="16"/>
              <w:bidi w:val="0"/>
              <w:rPr>
                <w:color w:val="auto"/>
                <w:highlight w:val="none"/>
              </w:rPr>
            </w:pPr>
            <w:r>
              <w:rPr>
                <w:color w:val="auto"/>
                <w:highlight w:val="none"/>
              </w:rPr>
              <w:t>地面温度</w:t>
            </w:r>
          </w:p>
          <w:p>
            <w:pPr>
              <w:pStyle w:val="16"/>
              <w:bidi w:val="0"/>
              <w:rPr>
                <w:color w:val="auto"/>
                <w:highlight w:val="none"/>
              </w:rPr>
            </w:pPr>
            <w:r>
              <w:rPr>
                <w:color w:val="auto"/>
                <w:highlight w:val="none"/>
              </w:rPr>
              <w:t>(</w:t>
            </w:r>
            <w:r>
              <w:rPr>
                <w:rFonts w:hint="eastAsia"/>
                <w:color w:val="auto"/>
                <w:highlight w:val="none"/>
              </w:rPr>
              <w:t>℃</w:t>
            </w:r>
            <w:r>
              <w:rPr>
                <w:color w:val="auto"/>
                <w:highlight w:val="none"/>
              </w:rPr>
              <w:t>)</w:t>
            </w:r>
          </w:p>
        </w:tc>
        <w:tc>
          <w:tcPr>
            <w:tcW w:w="1666" w:type="pct"/>
            <w:tcBorders>
              <w:tl2br w:val="nil"/>
              <w:tr2bl w:val="nil"/>
            </w:tcBorders>
            <w:noWrap w:val="0"/>
            <w:vAlign w:val="center"/>
          </w:tcPr>
          <w:p>
            <w:pPr>
              <w:pStyle w:val="16"/>
              <w:bidi w:val="0"/>
              <w:rPr>
                <w:color w:val="auto"/>
                <w:highlight w:val="none"/>
              </w:rPr>
            </w:pPr>
            <w:r>
              <w:rPr>
                <w:color w:val="auto"/>
                <w:highlight w:val="none"/>
              </w:rPr>
              <w:t>多年平均</w:t>
            </w:r>
          </w:p>
        </w:tc>
        <w:tc>
          <w:tcPr>
            <w:tcW w:w="1666" w:type="pct"/>
            <w:tcBorders>
              <w:tl2br w:val="nil"/>
              <w:tr2bl w:val="nil"/>
            </w:tcBorders>
            <w:noWrap w:val="0"/>
            <w:vAlign w:val="center"/>
          </w:tcPr>
          <w:p>
            <w:pPr>
              <w:pStyle w:val="16"/>
              <w:bidi w:val="0"/>
              <w:rPr>
                <w:color w:val="auto"/>
                <w:highlight w:val="none"/>
              </w:rPr>
            </w:pPr>
            <w:r>
              <w:rPr>
                <w:color w:val="auto"/>
                <w:highlight w:val="none"/>
              </w:rPr>
              <w:t>19.70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16"/>
              <w:bidi w:val="0"/>
              <w:rPr>
                <w:color w:val="auto"/>
                <w:highlight w:val="none"/>
              </w:rPr>
            </w:pPr>
          </w:p>
        </w:tc>
        <w:tc>
          <w:tcPr>
            <w:tcW w:w="1666" w:type="pct"/>
            <w:tcBorders>
              <w:tl2br w:val="nil"/>
              <w:tr2bl w:val="nil"/>
            </w:tcBorders>
            <w:noWrap w:val="0"/>
            <w:vAlign w:val="center"/>
          </w:tcPr>
          <w:p>
            <w:pPr>
              <w:pStyle w:val="16"/>
              <w:bidi w:val="0"/>
              <w:rPr>
                <w:color w:val="auto"/>
                <w:highlight w:val="none"/>
              </w:rPr>
            </w:pPr>
            <w:r>
              <w:rPr>
                <w:color w:val="auto"/>
                <w:highlight w:val="none"/>
              </w:rPr>
              <w:t>极端最高</w:t>
            </w:r>
          </w:p>
        </w:tc>
        <w:tc>
          <w:tcPr>
            <w:tcW w:w="1666" w:type="pct"/>
            <w:tcBorders>
              <w:tl2br w:val="nil"/>
              <w:tr2bl w:val="nil"/>
            </w:tcBorders>
            <w:noWrap w:val="0"/>
            <w:vAlign w:val="center"/>
          </w:tcPr>
          <w:p>
            <w:pPr>
              <w:pStyle w:val="16"/>
              <w:bidi w:val="0"/>
              <w:rPr>
                <w:color w:val="auto"/>
                <w:highlight w:val="none"/>
              </w:rPr>
            </w:pPr>
            <w:r>
              <w:rPr>
                <w:color w:val="auto"/>
                <w:highlight w:val="none"/>
              </w:rPr>
              <w:t>58.50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主导风向</w:t>
            </w:r>
          </w:p>
        </w:tc>
        <w:tc>
          <w:tcPr>
            <w:tcW w:w="1666" w:type="pct"/>
            <w:tcBorders>
              <w:tl2br w:val="nil"/>
              <w:tr2bl w:val="nil"/>
            </w:tcBorders>
            <w:noWrap w:val="0"/>
            <w:vAlign w:val="center"/>
          </w:tcPr>
          <w:p>
            <w:pPr>
              <w:pStyle w:val="16"/>
              <w:bidi w:val="0"/>
              <w:rPr>
                <w:color w:val="auto"/>
                <w:highlight w:val="none"/>
              </w:rPr>
            </w:pPr>
            <w:r>
              <w:rPr>
                <w:color w:val="auto"/>
                <w:highlight w:val="none"/>
              </w:rPr>
              <w:t>NNE</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多年平均相对湿度（%）</w:t>
            </w:r>
          </w:p>
        </w:tc>
        <w:tc>
          <w:tcPr>
            <w:tcW w:w="1666" w:type="pct"/>
            <w:tcBorders>
              <w:tl2br w:val="nil"/>
              <w:tr2bl w:val="nil"/>
            </w:tcBorders>
            <w:noWrap w:val="0"/>
            <w:vAlign w:val="center"/>
          </w:tcPr>
          <w:p>
            <w:pPr>
              <w:pStyle w:val="16"/>
              <w:bidi w:val="0"/>
              <w:rPr>
                <w:color w:val="auto"/>
                <w:highlight w:val="none"/>
              </w:rPr>
            </w:pPr>
            <w:r>
              <w:rPr>
                <w:color w:val="auto"/>
                <w:highlight w:val="none"/>
              </w:rPr>
              <w:t>82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多年平均蒸发量(mm)</w:t>
            </w:r>
          </w:p>
        </w:tc>
        <w:tc>
          <w:tcPr>
            <w:tcW w:w="1666" w:type="pct"/>
            <w:tcBorders>
              <w:tl2br w:val="nil"/>
              <w:tr2bl w:val="nil"/>
            </w:tcBorders>
            <w:noWrap w:val="0"/>
            <w:vAlign w:val="center"/>
          </w:tcPr>
          <w:p>
            <w:pPr>
              <w:pStyle w:val="16"/>
              <w:bidi w:val="0"/>
              <w:rPr>
                <w:color w:val="auto"/>
                <w:highlight w:val="none"/>
              </w:rPr>
            </w:pPr>
            <w:r>
              <w:rPr>
                <w:color w:val="auto"/>
                <w:highlight w:val="none"/>
              </w:rPr>
              <w:t>1020.50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≥10</w:t>
            </w:r>
            <w:r>
              <w:rPr>
                <w:rFonts w:hint="eastAsia"/>
                <w:color w:val="auto"/>
                <w:highlight w:val="none"/>
              </w:rPr>
              <w:t>℃</w:t>
            </w:r>
            <w:r>
              <w:rPr>
                <w:color w:val="auto"/>
                <w:highlight w:val="none"/>
              </w:rPr>
              <w:t>积温（</w:t>
            </w:r>
            <w:r>
              <w:rPr>
                <w:rFonts w:hint="eastAsia"/>
                <w:color w:val="auto"/>
                <w:highlight w:val="none"/>
              </w:rPr>
              <w:t>℃</w:t>
            </w:r>
            <w:r>
              <w:rPr>
                <w:color w:val="auto"/>
                <w:highlight w:val="none"/>
              </w:rPr>
              <w:t>）</w:t>
            </w:r>
          </w:p>
        </w:tc>
        <w:tc>
          <w:tcPr>
            <w:tcW w:w="1666" w:type="pct"/>
            <w:tcBorders>
              <w:tl2br w:val="nil"/>
              <w:tr2bl w:val="nil"/>
            </w:tcBorders>
            <w:noWrap w:val="0"/>
            <w:vAlign w:val="center"/>
          </w:tcPr>
          <w:p>
            <w:pPr>
              <w:pStyle w:val="16"/>
              <w:bidi w:val="0"/>
              <w:rPr>
                <w:color w:val="auto"/>
                <w:highlight w:val="none"/>
              </w:rPr>
            </w:pPr>
            <w:r>
              <w:rPr>
                <w:color w:val="auto"/>
                <w:highlight w:val="none"/>
              </w:rPr>
              <w:t>5450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多年平均24小时最大暴雨量(mm)</w:t>
            </w:r>
          </w:p>
        </w:tc>
        <w:tc>
          <w:tcPr>
            <w:tcW w:w="1666" w:type="pct"/>
            <w:tcBorders>
              <w:tl2br w:val="nil"/>
              <w:tr2bl w:val="nil"/>
            </w:tcBorders>
            <w:noWrap w:val="0"/>
            <w:vAlign w:val="center"/>
          </w:tcPr>
          <w:p>
            <w:pPr>
              <w:pStyle w:val="16"/>
              <w:bidi w:val="0"/>
              <w:rPr>
                <w:color w:val="auto"/>
                <w:highlight w:val="none"/>
              </w:rPr>
            </w:pPr>
            <w:r>
              <w:rPr>
                <w:color w:val="auto"/>
                <w:highlight w:val="none"/>
              </w:rPr>
              <w:t>195.20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多年平均暴雷日数（d）</w:t>
            </w:r>
          </w:p>
        </w:tc>
        <w:tc>
          <w:tcPr>
            <w:tcW w:w="1666" w:type="pct"/>
            <w:tcBorders>
              <w:tl2br w:val="nil"/>
              <w:tr2bl w:val="nil"/>
            </w:tcBorders>
            <w:noWrap w:val="0"/>
            <w:vAlign w:val="center"/>
          </w:tcPr>
          <w:p>
            <w:pPr>
              <w:pStyle w:val="16"/>
              <w:bidi w:val="0"/>
              <w:rPr>
                <w:color w:val="auto"/>
                <w:highlight w:val="none"/>
              </w:rPr>
            </w:pPr>
            <w:r>
              <w:rPr>
                <w:color w:val="auto"/>
                <w:highlight w:val="none"/>
              </w:rPr>
              <w:t>35.50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5年一遇1h最大降雨特征值(mm)</w:t>
            </w:r>
          </w:p>
        </w:tc>
        <w:tc>
          <w:tcPr>
            <w:tcW w:w="1666" w:type="pct"/>
            <w:tcBorders>
              <w:tl2br w:val="nil"/>
              <w:tr2bl w:val="nil"/>
            </w:tcBorders>
            <w:noWrap w:val="0"/>
            <w:vAlign w:val="center"/>
          </w:tcPr>
          <w:p>
            <w:pPr>
              <w:pStyle w:val="16"/>
              <w:bidi w:val="0"/>
              <w:rPr>
                <w:color w:val="auto"/>
                <w:highlight w:val="none"/>
              </w:rPr>
            </w:pPr>
            <w:r>
              <w:rPr>
                <w:color w:val="auto"/>
                <w:highlight w:val="none"/>
              </w:rPr>
              <w:t>59.7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10年一遇1h最大降雨特征值(mm)</w:t>
            </w:r>
          </w:p>
        </w:tc>
        <w:tc>
          <w:tcPr>
            <w:tcW w:w="1666" w:type="pct"/>
            <w:tcBorders>
              <w:tl2br w:val="nil"/>
              <w:tr2bl w:val="nil"/>
            </w:tcBorders>
            <w:noWrap w:val="0"/>
            <w:vAlign w:val="center"/>
          </w:tcPr>
          <w:p>
            <w:pPr>
              <w:pStyle w:val="16"/>
              <w:bidi w:val="0"/>
              <w:rPr>
                <w:color w:val="auto"/>
                <w:highlight w:val="none"/>
              </w:rPr>
            </w:pPr>
            <w:r>
              <w:rPr>
                <w:color w:val="auto"/>
                <w:highlight w:val="none"/>
              </w:rPr>
              <w:t>70.5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16"/>
              <w:bidi w:val="0"/>
              <w:rPr>
                <w:color w:val="auto"/>
                <w:highlight w:val="none"/>
              </w:rPr>
            </w:pPr>
            <w:r>
              <w:rPr>
                <w:color w:val="auto"/>
                <w:highlight w:val="none"/>
              </w:rPr>
              <w:t>20年一遇1h最大降雨特征值(mm)</w:t>
            </w:r>
          </w:p>
        </w:tc>
        <w:tc>
          <w:tcPr>
            <w:tcW w:w="1666" w:type="pct"/>
            <w:tcBorders>
              <w:tl2br w:val="nil"/>
              <w:tr2bl w:val="nil"/>
            </w:tcBorders>
            <w:noWrap w:val="0"/>
            <w:vAlign w:val="center"/>
          </w:tcPr>
          <w:p>
            <w:pPr>
              <w:pStyle w:val="16"/>
              <w:bidi w:val="0"/>
              <w:rPr>
                <w:color w:val="auto"/>
                <w:highlight w:val="none"/>
              </w:rPr>
            </w:pPr>
            <w:r>
              <w:rPr>
                <w:color w:val="auto"/>
                <w:highlight w:val="none"/>
              </w:rPr>
              <w:t>80.4</w:t>
            </w:r>
          </w:p>
        </w:tc>
      </w:tr>
    </w:tbl>
    <w:p>
      <w:pPr>
        <w:pStyle w:val="5"/>
        <w:rPr>
          <w:rFonts w:cs="Times New Roman"/>
          <w:color w:val="auto"/>
          <w:highlight w:val="none"/>
        </w:rPr>
      </w:pPr>
      <w:r>
        <w:rPr>
          <w:rFonts w:cs="Times New Roman"/>
          <w:color w:val="auto"/>
          <w:highlight w:val="none"/>
        </w:rPr>
        <w:t>水文</w:t>
      </w:r>
    </w:p>
    <w:p>
      <w:pPr>
        <w:ind w:firstLine="480"/>
        <w:rPr>
          <w:rFonts w:hint="eastAsia" w:cs="Times New Roman"/>
          <w:color w:val="auto"/>
          <w:highlight w:val="none"/>
        </w:rPr>
      </w:pPr>
      <w:r>
        <w:rPr>
          <w:rFonts w:hint="eastAsia" w:cs="Times New Roman"/>
          <w:color w:val="auto"/>
          <w:highlight w:val="none"/>
        </w:rPr>
        <w:t>本工程属于双流区境域，境河流属岷江水系，多集中分布于平原地区，流向近于由北东向南西。主要河流有金马河、锦江、江安河、杨柳河、清水河、白河和鹿溪河，河流总长为181.15千米。</w:t>
      </w:r>
    </w:p>
    <w:p>
      <w:pPr>
        <w:ind w:firstLine="480"/>
        <w:rPr>
          <w:rFonts w:cs="Times New Roman"/>
          <w:color w:val="auto"/>
          <w:highlight w:val="none"/>
        </w:rPr>
      </w:pPr>
      <w:r>
        <w:rPr>
          <w:rFonts w:hint="eastAsia" w:cs="Times New Roman"/>
          <w:color w:val="auto"/>
          <w:highlight w:val="none"/>
        </w:rPr>
        <w:t>项目场地地下水类型可分为上层滞水和基岩裂隙水两种类型。上层滞水主要分布在素填土层、粘土层及粘土质卵石层内；裂隙水主要赋存于泥质砂岩浅部风化裂隙中。</w:t>
      </w:r>
    </w:p>
    <w:p>
      <w:pPr>
        <w:pStyle w:val="5"/>
        <w:rPr>
          <w:rFonts w:cs="Times New Roman"/>
          <w:color w:val="auto"/>
          <w:highlight w:val="none"/>
        </w:rPr>
      </w:pPr>
      <w:r>
        <w:rPr>
          <w:rFonts w:cs="Times New Roman"/>
          <w:color w:val="auto"/>
          <w:highlight w:val="none"/>
        </w:rPr>
        <w:t>土壤</w:t>
      </w:r>
    </w:p>
    <w:p>
      <w:pPr>
        <w:ind w:firstLine="480"/>
        <w:rPr>
          <w:rFonts w:hint="eastAsia" w:cs="Times New Roman"/>
          <w:color w:val="auto"/>
          <w:highlight w:val="none"/>
        </w:rPr>
      </w:pPr>
      <w:r>
        <w:rPr>
          <w:rFonts w:hint="eastAsia" w:cs="Times New Roman"/>
          <w:color w:val="auto"/>
          <w:highlight w:val="none"/>
        </w:rPr>
        <w:t>项目区的土壤分为水稻土、冲积土、黄壤土、紫色土共4种类型，冲积性水稻土、紫色性水土、黄壤性水稻土、潮土、紫色土、黄壤土6个亚类，21个土属，44个土种。其中以水稻土为主，占总耕地面积的78.62%，分布于全县各乡镇，PH值在5.5~8.5的变幅内，PH大于8.5的微咸性土壤仅占1.89%，基本适宜水稻、小麦、油菜等作物的生长要求。</w:t>
      </w:r>
    </w:p>
    <w:p>
      <w:pPr>
        <w:ind w:firstLine="480"/>
        <w:rPr>
          <w:rFonts w:cs="Times New Roman"/>
          <w:color w:val="auto"/>
          <w:highlight w:val="none"/>
        </w:rPr>
      </w:pPr>
      <w:r>
        <w:rPr>
          <w:rFonts w:hint="eastAsia" w:cs="Times New Roman"/>
          <w:color w:val="auto"/>
          <w:highlight w:val="none"/>
        </w:rPr>
        <w:t>本项目区内主要土壤类型为黄壤土。</w:t>
      </w:r>
    </w:p>
    <w:p>
      <w:pPr>
        <w:pStyle w:val="5"/>
        <w:rPr>
          <w:rFonts w:cs="Times New Roman"/>
          <w:color w:val="auto"/>
          <w:highlight w:val="none"/>
        </w:rPr>
      </w:pPr>
      <w:r>
        <w:rPr>
          <w:rFonts w:cs="Times New Roman"/>
          <w:color w:val="auto"/>
          <w:highlight w:val="none"/>
        </w:rPr>
        <w:t>植被</w:t>
      </w:r>
    </w:p>
    <w:p>
      <w:pPr>
        <w:ind w:firstLine="480"/>
        <w:rPr>
          <w:rFonts w:hint="eastAsia" w:cs="Times New Roman"/>
          <w:color w:val="auto"/>
          <w:highlight w:val="none"/>
        </w:rPr>
      </w:pPr>
      <w:r>
        <w:rPr>
          <w:rFonts w:hint="eastAsia" w:cs="Times New Roman"/>
          <w:color w:val="auto"/>
          <w:highlight w:val="none"/>
        </w:rPr>
        <w:t>项目区位于亚热带常绿阔叶林区，由于地形、地貌、土壤等差异，项目区境内平原、台地与丘陵山区分布有不同的森林植被和植物群落，植被具有多样性特点。平原区以农业植被为主，主要是油菜和水稻；村落周围、河渠道路两旁，以慈竹群落为主的川西平原林盘星罗棋布；龙泉山低山区主要分布以柏树、青冈等为主的针阔混交林和成片种植的经济果木；浅丘、台地以人工次生林为主，多为纯林，主要为马尾松、湿地松等松林。</w:t>
      </w:r>
    </w:p>
    <w:p>
      <w:pPr>
        <w:ind w:firstLine="480"/>
        <w:rPr>
          <w:rFonts w:cs="Times New Roman"/>
          <w:color w:val="auto"/>
          <w:highlight w:val="none"/>
        </w:rPr>
      </w:pPr>
      <w:r>
        <w:rPr>
          <w:rFonts w:hint="eastAsia" w:cs="Times New Roman"/>
          <w:color w:val="auto"/>
          <w:highlight w:val="none"/>
        </w:rPr>
        <w:t>场地原地貌为次生植被，林草植被覆盖率约45%</w:t>
      </w:r>
      <w:r>
        <w:rPr>
          <w:rFonts w:cs="Times New Roman"/>
          <w:color w:val="auto"/>
          <w:highlight w:val="none"/>
        </w:rPr>
        <w:t>。</w:t>
      </w:r>
    </w:p>
    <w:p>
      <w:pPr>
        <w:pStyle w:val="4"/>
        <w:rPr>
          <w:rFonts w:cs="Times New Roman"/>
          <w:color w:val="auto"/>
          <w:highlight w:val="none"/>
        </w:rPr>
      </w:pPr>
      <w:r>
        <w:rPr>
          <w:rFonts w:cs="Times New Roman"/>
          <w:color w:val="auto"/>
          <w:highlight w:val="none"/>
        </w:rPr>
        <w:t>水土流失及防治情况</w:t>
      </w:r>
    </w:p>
    <w:p>
      <w:pPr>
        <w:pStyle w:val="5"/>
        <w:rPr>
          <w:rFonts w:cs="Times New Roman"/>
          <w:color w:val="auto"/>
          <w:highlight w:val="none"/>
        </w:rPr>
      </w:pPr>
      <w:r>
        <w:rPr>
          <w:rFonts w:cs="Times New Roman"/>
          <w:color w:val="auto"/>
          <w:highlight w:val="none"/>
        </w:rPr>
        <w:t>项目区水土流失情况</w:t>
      </w:r>
    </w:p>
    <w:p>
      <w:pPr>
        <w:numPr>
          <w:ilvl w:val="0"/>
          <w:numId w:val="4"/>
        </w:numPr>
        <w:ind w:left="0" w:firstLine="480"/>
        <w:rPr>
          <w:rFonts w:cs="Times New Roman"/>
          <w:color w:val="auto"/>
          <w:highlight w:val="none"/>
        </w:rPr>
      </w:pPr>
      <w:r>
        <w:rPr>
          <w:rFonts w:cs="Times New Roman"/>
          <w:color w:val="auto"/>
          <w:highlight w:val="none"/>
        </w:rPr>
        <w:t xml:space="preserve">项目区水土流失类型 </w:t>
      </w:r>
    </w:p>
    <w:p>
      <w:pPr>
        <w:ind w:firstLine="480"/>
        <w:rPr>
          <w:rFonts w:cs="Times New Roman"/>
          <w:color w:val="auto"/>
          <w:highlight w:val="none"/>
        </w:rPr>
      </w:pPr>
      <w:r>
        <w:rPr>
          <w:rFonts w:cs="Times New Roman"/>
          <w:color w:val="auto"/>
          <w:highlight w:val="none"/>
        </w:rPr>
        <w:t>根据《水利部办公厅关于印发（全国水土保持规划国家级水土流失重点预防区和重点治理区复核划分成果）的通知》（办水保[2013]188号），《四川省水利厅关于印发</w:t>
      </w:r>
      <w:r>
        <w:rPr>
          <w:rFonts w:hint="eastAsia" w:cs="Times New Roman"/>
          <w:color w:val="auto"/>
          <w:highlight w:val="none"/>
        </w:rPr>
        <w:t>【</w:t>
      </w:r>
      <w:r>
        <w:rPr>
          <w:rFonts w:cs="Times New Roman"/>
          <w:color w:val="auto"/>
          <w:highlight w:val="none"/>
        </w:rPr>
        <w:t>四川省省级水土流失重点预防区和重点治理区划分成果</w:t>
      </w:r>
      <w:r>
        <w:rPr>
          <w:rFonts w:hint="eastAsia" w:cs="Times New Roman"/>
          <w:color w:val="auto"/>
          <w:highlight w:val="none"/>
        </w:rPr>
        <w:t>】</w:t>
      </w:r>
      <w:r>
        <w:rPr>
          <w:rFonts w:cs="Times New Roman"/>
          <w:color w:val="auto"/>
          <w:highlight w:val="none"/>
        </w:rPr>
        <w:t>的通知》（川水函[2017]482号），</w:t>
      </w:r>
      <w:r>
        <w:rPr>
          <w:rFonts w:hint="eastAsia" w:cs="Times New Roman"/>
          <w:color w:val="auto"/>
          <w:highlight w:val="none"/>
        </w:rPr>
        <w:t>本项目涉及的成都市天府新区不属于国家级水土流失重点预防区和重点治理区。参照《开发建设项目水土流失防治标准》（GB50434-2018）的规定以及结合本工程实际情况，</w:t>
      </w:r>
      <w:r>
        <w:rPr>
          <w:rFonts w:hint="eastAsia" w:cs="Times New Roman"/>
          <w:color w:val="auto"/>
          <w:highlight w:val="none"/>
          <w:lang w:val="en-US" w:eastAsia="zh-CN"/>
        </w:rPr>
        <w:t>天府新区为未来的城市区域，</w:t>
      </w:r>
      <w:r>
        <w:rPr>
          <w:rFonts w:hint="eastAsia" w:cs="Times New Roman"/>
          <w:color w:val="auto"/>
          <w:highlight w:val="none"/>
        </w:rPr>
        <w:t>本项目水土保持防治执行</w:t>
      </w:r>
      <w:r>
        <w:rPr>
          <w:rFonts w:hint="eastAsia" w:cs="Times New Roman"/>
          <w:color w:val="auto"/>
          <w:highlight w:val="none"/>
          <w:lang w:val="en-US" w:eastAsia="zh-CN"/>
        </w:rPr>
        <w:t>建设类</w:t>
      </w:r>
      <w:r>
        <w:rPr>
          <w:rFonts w:hint="eastAsia" w:cs="Times New Roman"/>
          <w:color w:val="auto"/>
          <w:highlight w:val="none"/>
        </w:rPr>
        <w:t>一级</w:t>
      </w:r>
      <w:r>
        <w:rPr>
          <w:rFonts w:hint="eastAsia" w:cs="Times New Roman"/>
          <w:color w:val="auto"/>
          <w:highlight w:val="none"/>
          <w:lang w:val="en-US" w:eastAsia="zh-CN"/>
        </w:rPr>
        <w:t>防治</w:t>
      </w:r>
      <w:r>
        <w:rPr>
          <w:rFonts w:hint="eastAsia" w:cs="Times New Roman"/>
          <w:color w:val="auto"/>
          <w:highlight w:val="none"/>
        </w:rPr>
        <w:t>标准。</w:t>
      </w:r>
      <w:r>
        <w:rPr>
          <w:rFonts w:cs="Times New Roman"/>
          <w:color w:val="auto"/>
          <w:highlight w:val="none"/>
        </w:rPr>
        <w:t>水土流失类型主要为水力侵蚀，水力侵蚀的形式为面蚀</w:t>
      </w:r>
      <w:r>
        <w:rPr>
          <w:rFonts w:hint="eastAsia" w:cs="Times New Roman"/>
          <w:color w:val="auto"/>
          <w:highlight w:val="none"/>
        </w:rPr>
        <w:t>及沟蚀</w:t>
      </w:r>
      <w:r>
        <w:rPr>
          <w:rFonts w:cs="Times New Roman"/>
          <w:color w:val="auto"/>
          <w:highlight w:val="none"/>
        </w:rPr>
        <w:t>。</w:t>
      </w:r>
    </w:p>
    <w:p>
      <w:pPr>
        <w:numPr>
          <w:ilvl w:val="0"/>
          <w:numId w:val="4"/>
        </w:numPr>
        <w:ind w:left="0" w:firstLine="480"/>
        <w:rPr>
          <w:rFonts w:cs="Times New Roman"/>
          <w:color w:val="auto"/>
          <w:highlight w:val="none"/>
        </w:rPr>
      </w:pPr>
      <w:r>
        <w:rPr>
          <w:rFonts w:cs="Times New Roman"/>
          <w:color w:val="auto"/>
          <w:highlight w:val="none"/>
        </w:rPr>
        <w:t>项目区水土流失强度</w:t>
      </w:r>
    </w:p>
    <w:p>
      <w:pPr>
        <w:ind w:firstLine="480"/>
        <w:rPr>
          <w:rFonts w:cs="Times New Roman"/>
          <w:color w:val="auto"/>
          <w:highlight w:val="none"/>
        </w:rPr>
      </w:pPr>
      <w:r>
        <w:rPr>
          <w:color w:val="auto"/>
          <w:highlight w:val="none"/>
        </w:rPr>
        <w:t>根据</w:t>
      </w:r>
      <w:r>
        <w:rPr>
          <w:rFonts w:hint="eastAsia"/>
          <w:color w:val="auto"/>
          <w:highlight w:val="none"/>
        </w:rPr>
        <w:t>本项目</w:t>
      </w:r>
      <w:r>
        <w:rPr>
          <w:color w:val="auto"/>
          <w:highlight w:val="none"/>
        </w:rPr>
        <w:t>沿线土壤侵蚀分布图，结合项目区地形图分析，并经现场踏勘调查项目区土地利用类型、面积、地形坡度和植被覆盖率等，同时结合项目区地貌、土壤和气候特征，</w:t>
      </w:r>
      <w:r>
        <w:rPr>
          <w:rFonts w:hint="eastAsia"/>
          <w:color w:val="auto"/>
          <w:highlight w:val="none"/>
        </w:rPr>
        <w:t>依据</w:t>
      </w:r>
      <w:r>
        <w:rPr>
          <w:color w:val="auto"/>
          <w:highlight w:val="none"/>
        </w:rPr>
        <w:t>《土壤侵蚀分类分级标准》 (SL190-2007)推求各工程单元不同土地利用类型下的侵蚀强度，参考当地相关水保资料最终确定项目区各个工程单元各种土地利用类型下的土壤侵蚀模数背景值。本项目区域地形地质条件较好，受地震灾害影响不大。</w:t>
      </w:r>
      <w:r>
        <w:rPr>
          <w:rFonts w:hint="eastAsia"/>
          <w:color w:val="auto"/>
          <w:highlight w:val="none"/>
        </w:rPr>
        <w:t>根据批复方案</w:t>
      </w:r>
      <w:r>
        <w:rPr>
          <w:color w:val="auto"/>
          <w:highlight w:val="none"/>
        </w:rPr>
        <w:t>，项目沿线平均土壤侵蚀模数背景值为</w:t>
      </w:r>
      <w:r>
        <w:rPr>
          <w:rFonts w:hint="eastAsia"/>
          <w:color w:val="auto"/>
          <w:highlight w:val="none"/>
        </w:rPr>
        <w:t>1389</w:t>
      </w:r>
      <w:r>
        <w:rPr>
          <w:color w:val="auto"/>
          <w:highlight w:val="none"/>
        </w:rPr>
        <w:t>t/km</w:t>
      </w:r>
      <w:r>
        <w:rPr>
          <w:color w:val="auto"/>
          <w:highlight w:val="none"/>
          <w:vertAlign w:val="superscript"/>
        </w:rPr>
        <w:t>2</w:t>
      </w:r>
      <w:r>
        <w:rPr>
          <w:color w:val="auto"/>
          <w:highlight w:val="none"/>
        </w:rPr>
        <w:t>·a</w:t>
      </w:r>
      <w:r>
        <w:rPr>
          <w:rFonts w:cs="Times New Roman"/>
          <w:color w:val="auto"/>
          <w:highlight w:val="none"/>
        </w:rPr>
        <w:t>。</w:t>
      </w:r>
    </w:p>
    <w:p>
      <w:pPr>
        <w:ind w:firstLine="480"/>
        <w:rPr>
          <w:rFonts w:cs="Times New Roman"/>
          <w:color w:val="auto"/>
          <w:highlight w:val="none"/>
        </w:rPr>
      </w:pPr>
      <w:r>
        <w:rPr>
          <w:rFonts w:cs="Times New Roman"/>
          <w:color w:val="auto"/>
          <w:highlight w:val="none"/>
        </w:rPr>
        <w:t>经过调查分析，该工程水土流失重点时段为施工期，</w:t>
      </w:r>
      <w:r>
        <w:rPr>
          <w:rFonts w:hint="eastAsia" w:cs="Times New Roman"/>
          <w:color w:val="auto"/>
          <w:highlight w:val="none"/>
        </w:rPr>
        <w:t>因工程建设带来的地面扰动、植被破坏、弃渣等产生的新增水土流失主要集中在施工期，此时开挖工作量为最大，相对水土保持措施如排水、绿化暂未全部实施，故流失量最大。经过工程试运行期，水土保持措施逐步产生效益，相应水土流失量减少，整个工程水土流失量基本得到控制，整个项目区土壤侵蚀强度降低到允许值范围内</w:t>
      </w:r>
      <w:r>
        <w:rPr>
          <w:rFonts w:cs="Times New Roman"/>
          <w:color w:val="auto"/>
          <w:highlight w:val="none"/>
        </w:rPr>
        <w:t>。</w:t>
      </w:r>
    </w:p>
    <w:p>
      <w:pPr>
        <w:numPr>
          <w:ilvl w:val="0"/>
          <w:numId w:val="4"/>
        </w:numPr>
        <w:ind w:left="0" w:firstLine="480"/>
        <w:rPr>
          <w:rFonts w:cs="Times New Roman"/>
          <w:color w:val="auto"/>
          <w:highlight w:val="none"/>
        </w:rPr>
      </w:pPr>
      <w:r>
        <w:rPr>
          <w:rFonts w:cs="Times New Roman"/>
          <w:color w:val="auto"/>
          <w:highlight w:val="none"/>
        </w:rPr>
        <w:t>项目区</w:t>
      </w:r>
      <w:r>
        <w:rPr>
          <w:rFonts w:hint="eastAsia" w:cs="Times New Roman"/>
          <w:color w:val="auto"/>
          <w:highlight w:val="none"/>
        </w:rPr>
        <w:t>容许土壤流失量</w:t>
      </w:r>
    </w:p>
    <w:p>
      <w:pPr>
        <w:ind w:firstLine="480"/>
        <w:rPr>
          <w:rFonts w:cs="Times New Roman"/>
          <w:color w:val="auto"/>
          <w:highlight w:val="none"/>
        </w:rPr>
      </w:pPr>
      <w:r>
        <w:rPr>
          <w:color w:val="auto"/>
          <w:highlight w:val="none"/>
        </w:rPr>
        <w:t>项目区土壤侵蚀类型以水力侵蚀为主，按侵蚀类型区划分属于西南土石山区，其土壤容许流失量为500t/km</w:t>
      </w:r>
      <w:r>
        <w:rPr>
          <w:color w:val="auto"/>
          <w:highlight w:val="none"/>
          <w:vertAlign w:val="superscript"/>
        </w:rPr>
        <w:t>2</w:t>
      </w:r>
      <w:r>
        <w:rPr>
          <w:color w:val="auto"/>
          <w:highlight w:val="none"/>
        </w:rPr>
        <w:t>•a</w:t>
      </w:r>
      <w:r>
        <w:rPr>
          <w:rFonts w:cs="Times New Roman"/>
          <w:color w:val="auto"/>
          <w:highlight w:val="none"/>
        </w:rPr>
        <w:t>。</w:t>
      </w:r>
    </w:p>
    <w:p>
      <w:pPr>
        <w:pStyle w:val="5"/>
        <w:rPr>
          <w:rFonts w:cs="Times New Roman"/>
          <w:color w:val="auto"/>
          <w:highlight w:val="none"/>
        </w:rPr>
      </w:pPr>
      <w:r>
        <w:rPr>
          <w:rFonts w:cs="Times New Roman"/>
          <w:color w:val="auto"/>
          <w:highlight w:val="none"/>
        </w:rPr>
        <w:t>水土流失影响</w:t>
      </w:r>
    </w:p>
    <w:p>
      <w:pPr>
        <w:numPr>
          <w:ilvl w:val="0"/>
          <w:numId w:val="5"/>
        </w:numPr>
        <w:ind w:left="0" w:firstLine="480"/>
        <w:rPr>
          <w:rFonts w:cs="Times New Roman"/>
          <w:color w:val="auto"/>
          <w:highlight w:val="none"/>
        </w:rPr>
      </w:pPr>
      <w:r>
        <w:rPr>
          <w:rFonts w:cs="Times New Roman"/>
          <w:color w:val="auto"/>
          <w:highlight w:val="none"/>
        </w:rPr>
        <w:t>对工程本身的影响</w:t>
      </w:r>
    </w:p>
    <w:p>
      <w:pPr>
        <w:ind w:firstLine="480"/>
        <w:rPr>
          <w:rFonts w:cs="Times New Roman"/>
          <w:color w:val="auto"/>
          <w:highlight w:val="none"/>
        </w:rPr>
      </w:pPr>
      <w:r>
        <w:rPr>
          <w:rFonts w:cs="Times New Roman"/>
          <w:color w:val="auto"/>
          <w:highlight w:val="none"/>
        </w:rPr>
        <w:t>工程建设过程中对裸露开挖面、开挖边坡、回填边坡，弃方堆放等进行了临时遮盖和挡护，并没有对主体工程营运安全造成不利影响。</w:t>
      </w:r>
    </w:p>
    <w:p>
      <w:pPr>
        <w:numPr>
          <w:ilvl w:val="0"/>
          <w:numId w:val="5"/>
        </w:numPr>
        <w:ind w:left="0" w:firstLine="480"/>
        <w:rPr>
          <w:rFonts w:cs="Times New Roman"/>
          <w:color w:val="auto"/>
          <w:highlight w:val="none"/>
        </w:rPr>
      </w:pPr>
      <w:r>
        <w:rPr>
          <w:rFonts w:cs="Times New Roman"/>
          <w:color w:val="auto"/>
          <w:highlight w:val="none"/>
        </w:rPr>
        <w:t>对周边环境的影响</w:t>
      </w:r>
    </w:p>
    <w:p>
      <w:pPr>
        <w:ind w:firstLine="480"/>
        <w:rPr>
          <w:rFonts w:cs="Times New Roman"/>
          <w:color w:val="auto"/>
          <w:highlight w:val="none"/>
        </w:rPr>
      </w:pPr>
      <w:r>
        <w:rPr>
          <w:rFonts w:cs="Times New Roman"/>
          <w:color w:val="auto"/>
          <w:highlight w:val="none"/>
        </w:rPr>
        <w:t>由于工程建设过程中破坏原地貌，损坏原有地表植被，开挖建设活动使施工期地表大面积裸露，工程结束后进行了绿化恢复，并不会对周边环境造成较大的影响。</w:t>
      </w:r>
    </w:p>
    <w:p>
      <w:pPr>
        <w:numPr>
          <w:ilvl w:val="0"/>
          <w:numId w:val="5"/>
        </w:numPr>
        <w:ind w:left="0" w:firstLine="480"/>
        <w:rPr>
          <w:rFonts w:cs="Times New Roman"/>
          <w:color w:val="auto"/>
          <w:highlight w:val="none"/>
        </w:rPr>
      </w:pPr>
      <w:r>
        <w:rPr>
          <w:rFonts w:cs="Times New Roman"/>
          <w:color w:val="auto"/>
          <w:highlight w:val="none"/>
        </w:rPr>
        <w:t>影响河道行洪及河流水质</w:t>
      </w:r>
    </w:p>
    <w:p>
      <w:pPr>
        <w:ind w:firstLine="480"/>
        <w:rPr>
          <w:rFonts w:cs="Times New Roman"/>
          <w:color w:val="auto"/>
          <w:highlight w:val="none"/>
        </w:rPr>
      </w:pPr>
      <w:r>
        <w:rPr>
          <w:rFonts w:cs="Times New Roman"/>
          <w:color w:val="auto"/>
          <w:highlight w:val="none"/>
        </w:rPr>
        <w:t>工程建设过程中不涉及河道，不会对河流水质造成任何影响。</w:t>
      </w:r>
    </w:p>
    <w:p>
      <w:pPr>
        <w:numPr>
          <w:ilvl w:val="0"/>
          <w:numId w:val="5"/>
        </w:numPr>
        <w:ind w:left="0" w:firstLine="480"/>
        <w:rPr>
          <w:rFonts w:cs="Times New Roman"/>
          <w:color w:val="auto"/>
          <w:highlight w:val="none"/>
        </w:rPr>
      </w:pPr>
      <w:r>
        <w:rPr>
          <w:rFonts w:cs="Times New Roman"/>
          <w:color w:val="auto"/>
          <w:highlight w:val="none"/>
        </w:rPr>
        <w:t>对土地生产力的影响</w:t>
      </w:r>
    </w:p>
    <w:p>
      <w:pPr>
        <w:ind w:firstLine="480"/>
        <w:rPr>
          <w:rFonts w:cs="Times New Roman"/>
          <w:color w:val="auto"/>
          <w:highlight w:val="none"/>
        </w:rPr>
      </w:pPr>
      <w:r>
        <w:rPr>
          <w:rFonts w:cs="Times New Roman"/>
          <w:color w:val="auto"/>
          <w:highlight w:val="none"/>
        </w:rPr>
        <w:t>工程建设前对表土层进行剥离，后期工程结束后对表层土进行了回覆，所以对土地生产力的影响较小。</w:t>
      </w:r>
    </w:p>
    <w:p>
      <w:pPr>
        <w:numPr>
          <w:ilvl w:val="0"/>
          <w:numId w:val="5"/>
        </w:numPr>
        <w:ind w:left="0" w:firstLine="480"/>
        <w:rPr>
          <w:rFonts w:cs="Times New Roman"/>
          <w:color w:val="auto"/>
          <w:highlight w:val="none"/>
        </w:rPr>
      </w:pPr>
      <w:r>
        <w:rPr>
          <w:rFonts w:cs="Times New Roman"/>
          <w:color w:val="auto"/>
          <w:highlight w:val="none"/>
        </w:rPr>
        <w:t>土壤流失量增加</w:t>
      </w:r>
    </w:p>
    <w:p>
      <w:pPr>
        <w:ind w:firstLine="480"/>
        <w:rPr>
          <w:rFonts w:cs="Times New Roman"/>
          <w:color w:val="auto"/>
          <w:highlight w:val="none"/>
        </w:rPr>
        <w:sectPr>
          <w:headerReference r:id="rId11" w:type="default"/>
          <w:footerReference r:id="rId12" w:type="default"/>
          <w:pgSz w:w="11906" w:h="16838"/>
          <w:pgMar w:top="1417" w:right="1417" w:bottom="1417" w:left="1417" w:header="851" w:footer="680" w:gutter="0"/>
          <w:pgBorders>
            <w:top w:val="none" w:sz="0" w:space="0"/>
            <w:left w:val="none" w:sz="0" w:space="0"/>
            <w:bottom w:val="none" w:sz="0" w:space="0"/>
            <w:right w:val="none" w:sz="0" w:space="0"/>
          </w:pgBorders>
          <w:pgNumType w:fmt="decimal" w:start="6"/>
          <w:cols w:space="425" w:num="1"/>
          <w:docGrid w:type="lines" w:linePitch="312" w:charSpace="0"/>
        </w:sectPr>
      </w:pPr>
      <w:r>
        <w:rPr>
          <w:rFonts w:cs="Times New Roman"/>
          <w:color w:val="auto"/>
          <w:highlight w:val="none"/>
        </w:rPr>
        <w:t>工程建设过程中对土石方的开挖、搬运、回填，损坏了一定数量的植被，改变了原地貌形态，使这一部分地区的土壤侵蚀程度加剧，从而增加了土壤的流失量。</w:t>
      </w:r>
    </w:p>
    <w:p>
      <w:pPr>
        <w:pStyle w:val="2"/>
        <w:rPr>
          <w:rFonts w:cs="Times New Roman"/>
          <w:color w:val="auto"/>
          <w:highlight w:val="none"/>
        </w:rPr>
      </w:pPr>
      <w:bookmarkStart w:id="5" w:name="_Toc23453"/>
      <w:r>
        <w:rPr>
          <w:rFonts w:cs="Times New Roman"/>
          <w:color w:val="auto"/>
          <w:highlight w:val="none"/>
        </w:rPr>
        <w:t>水土保持方案和设计情况</w:t>
      </w:r>
      <w:bookmarkEnd w:id="5"/>
    </w:p>
    <w:p>
      <w:pPr>
        <w:pStyle w:val="3"/>
        <w:rPr>
          <w:rFonts w:cs="Times New Roman"/>
          <w:color w:val="auto"/>
          <w:highlight w:val="none"/>
        </w:rPr>
      </w:pPr>
      <w:bookmarkStart w:id="6" w:name="_Toc12537"/>
      <w:r>
        <w:rPr>
          <w:rFonts w:cs="Times New Roman"/>
          <w:color w:val="auto"/>
          <w:highlight w:val="none"/>
        </w:rPr>
        <w:t>主体工程设计</w:t>
      </w:r>
      <w:bookmarkEnd w:id="6"/>
    </w:p>
    <w:p>
      <w:pPr>
        <w:ind w:firstLine="480"/>
        <w:rPr>
          <w:color w:val="auto"/>
          <w:highlight w:val="none"/>
        </w:rPr>
      </w:pPr>
      <w:r>
        <w:rPr>
          <w:color w:val="auto"/>
          <w:highlight w:val="none"/>
        </w:rPr>
        <w:t>20</w:t>
      </w:r>
      <w:r>
        <w:rPr>
          <w:rFonts w:hint="eastAsia"/>
          <w:color w:val="auto"/>
          <w:highlight w:val="none"/>
        </w:rPr>
        <w:t>1</w:t>
      </w:r>
      <w:r>
        <w:rPr>
          <w:rFonts w:hint="eastAsia"/>
          <w:color w:val="auto"/>
          <w:highlight w:val="none"/>
          <w:lang w:val="en-US" w:eastAsia="zh-CN"/>
        </w:rPr>
        <w:t>6</w:t>
      </w:r>
      <w:r>
        <w:rPr>
          <w:color w:val="auto"/>
          <w:highlight w:val="none"/>
        </w:rPr>
        <w:t>年</w:t>
      </w:r>
      <w:r>
        <w:rPr>
          <w:rFonts w:hint="eastAsia"/>
          <w:color w:val="auto"/>
          <w:highlight w:val="none"/>
          <w:lang w:val="en-US" w:eastAsia="zh-CN"/>
        </w:rPr>
        <w:t>4</w:t>
      </w:r>
      <w:r>
        <w:rPr>
          <w:color w:val="auto"/>
          <w:highlight w:val="none"/>
        </w:rPr>
        <w:t>月，</w:t>
      </w:r>
      <w:r>
        <w:rPr>
          <w:rFonts w:hint="eastAsia"/>
          <w:color w:val="auto"/>
          <w:highlight w:val="none"/>
          <w:lang w:eastAsia="zh-CN"/>
        </w:rPr>
        <w:t>天府新区成都管委会经济发展局</w:t>
      </w:r>
      <w:r>
        <w:rPr>
          <w:rFonts w:hint="eastAsia"/>
          <w:color w:val="auto"/>
          <w:highlight w:val="none"/>
        </w:rPr>
        <w:t>对</w:t>
      </w:r>
      <w:r>
        <w:rPr>
          <w:rFonts w:hint="eastAsia"/>
          <w:color w:val="auto"/>
          <w:highlight w:val="none"/>
          <w:lang w:eastAsia="zh-CN"/>
        </w:rPr>
        <w:t>成都润嘉汽车部件有限公司</w:t>
      </w:r>
      <w:r>
        <w:rPr>
          <w:rFonts w:hint="eastAsia"/>
          <w:color w:val="auto"/>
          <w:highlight w:val="none"/>
        </w:rPr>
        <w:t>报送的</w:t>
      </w:r>
      <w:r>
        <w:rPr>
          <w:color w:val="auto"/>
          <w:highlight w:val="none"/>
        </w:rPr>
        <w:t>《</w:t>
      </w:r>
      <w:r>
        <w:rPr>
          <w:rFonts w:hint="eastAsia"/>
          <w:color w:val="auto"/>
          <w:highlight w:val="none"/>
          <w:lang w:eastAsia="zh-CN"/>
        </w:rPr>
        <w:t>上海千缘汽车车身模具有限公司关于汽车零部件制造的项目</w:t>
      </w:r>
      <w:r>
        <w:rPr>
          <w:color w:val="auto"/>
          <w:highlight w:val="none"/>
        </w:rPr>
        <w:t>可行性研究报告》</w:t>
      </w:r>
      <w:r>
        <w:rPr>
          <w:rFonts w:hint="eastAsia"/>
          <w:color w:val="auto"/>
          <w:highlight w:val="none"/>
        </w:rPr>
        <w:t>进行批复（</w:t>
      </w:r>
      <w:r>
        <w:rPr>
          <w:rFonts w:hint="eastAsia"/>
          <w:color w:val="auto"/>
          <w:highlight w:val="none"/>
          <w:lang w:eastAsia="zh-CN"/>
        </w:rPr>
        <w:t>天成管经投资备案[2016]42号</w:t>
      </w:r>
      <w:r>
        <w:rPr>
          <w:rFonts w:hint="eastAsia"/>
          <w:color w:val="auto"/>
          <w:highlight w:val="none"/>
        </w:rPr>
        <w:t>）；</w:t>
      </w:r>
    </w:p>
    <w:p>
      <w:pPr>
        <w:ind w:firstLine="480"/>
        <w:rPr>
          <w:rFonts w:cs="Times New Roman"/>
          <w:color w:val="auto"/>
          <w:highlight w:val="none"/>
        </w:rPr>
      </w:pPr>
      <w:r>
        <w:rPr>
          <w:rFonts w:hint="eastAsia" w:cs="Times New Roman"/>
          <w:color w:val="auto"/>
          <w:highlight w:val="none"/>
        </w:rPr>
        <w:t>201</w:t>
      </w:r>
      <w:r>
        <w:rPr>
          <w:rFonts w:hint="eastAsia" w:cs="Times New Roman"/>
          <w:color w:val="auto"/>
          <w:highlight w:val="none"/>
          <w:lang w:val="en-US" w:eastAsia="zh-CN"/>
        </w:rPr>
        <w:t>6</w:t>
      </w:r>
      <w:r>
        <w:rPr>
          <w:rFonts w:hint="eastAsia" w:cs="Times New Roman"/>
          <w:color w:val="auto"/>
          <w:highlight w:val="none"/>
        </w:rPr>
        <w:t>年</w:t>
      </w:r>
      <w:r>
        <w:rPr>
          <w:rFonts w:hint="eastAsia" w:cs="Times New Roman"/>
          <w:color w:val="auto"/>
          <w:highlight w:val="none"/>
          <w:lang w:val="en-US" w:eastAsia="zh-CN"/>
        </w:rPr>
        <w:t>5</w:t>
      </w:r>
      <w:r>
        <w:rPr>
          <w:rFonts w:hint="eastAsia" w:cs="Times New Roman"/>
          <w:color w:val="auto"/>
          <w:highlight w:val="none"/>
        </w:rPr>
        <w:t>月，</w:t>
      </w:r>
      <w:r>
        <w:rPr>
          <w:rFonts w:hint="eastAsia" w:cs="Times New Roman"/>
          <w:color w:val="auto"/>
          <w:highlight w:val="none"/>
          <w:lang w:eastAsia="zh-CN"/>
        </w:rPr>
        <w:t>四川国鼎建筑设计有限公司</w:t>
      </w:r>
      <w:r>
        <w:rPr>
          <w:rFonts w:hint="eastAsia" w:cs="Times New Roman"/>
          <w:color w:val="auto"/>
          <w:highlight w:val="none"/>
        </w:rPr>
        <w:t>完成了《</w:t>
      </w:r>
      <w:r>
        <w:rPr>
          <w:rFonts w:hint="eastAsia" w:cs="Times New Roman"/>
          <w:color w:val="auto"/>
          <w:highlight w:val="none"/>
          <w:lang w:eastAsia="zh-CN"/>
        </w:rPr>
        <w:t>上海千缘汽车车身模具有限公司关于汽车零部件制造的项目</w:t>
      </w:r>
      <w:r>
        <w:rPr>
          <w:rFonts w:hint="eastAsia" w:cs="Times New Roman"/>
          <w:color w:val="auto"/>
          <w:highlight w:val="none"/>
        </w:rPr>
        <w:t>施工图设计》</w:t>
      </w:r>
      <w:r>
        <w:rPr>
          <w:rFonts w:cs="Times New Roman"/>
          <w:color w:val="auto"/>
          <w:highlight w:val="none"/>
        </w:rPr>
        <w:t>。</w:t>
      </w:r>
    </w:p>
    <w:p>
      <w:pPr>
        <w:pStyle w:val="3"/>
        <w:rPr>
          <w:rFonts w:cs="Times New Roman"/>
          <w:color w:val="auto"/>
          <w:highlight w:val="none"/>
        </w:rPr>
      </w:pPr>
      <w:bookmarkStart w:id="7" w:name="_Toc17482"/>
      <w:r>
        <w:rPr>
          <w:rFonts w:cs="Times New Roman"/>
          <w:color w:val="auto"/>
          <w:highlight w:val="none"/>
        </w:rPr>
        <w:t>水土保持方案</w:t>
      </w:r>
      <w:bookmarkEnd w:id="7"/>
    </w:p>
    <w:p>
      <w:pPr>
        <w:ind w:firstLine="480"/>
        <w:rPr>
          <w:rFonts w:cs="Times New Roman"/>
          <w:color w:val="auto"/>
          <w:highlight w:val="none"/>
        </w:rPr>
      </w:pPr>
      <w:r>
        <w:rPr>
          <w:rFonts w:hint="eastAsia" w:cs="Times New Roman"/>
          <w:color w:val="auto"/>
          <w:highlight w:val="none"/>
        </w:rPr>
        <w:t>2016年</w:t>
      </w:r>
      <w:r>
        <w:rPr>
          <w:rFonts w:hint="eastAsia" w:cs="Times New Roman"/>
          <w:color w:val="auto"/>
          <w:highlight w:val="none"/>
          <w:lang w:val="en-US" w:eastAsia="zh-CN"/>
        </w:rPr>
        <w:t>6</w:t>
      </w:r>
      <w:r>
        <w:rPr>
          <w:rFonts w:hint="eastAsia" w:cs="Times New Roman"/>
          <w:color w:val="auto"/>
          <w:highlight w:val="none"/>
        </w:rPr>
        <w:t>月，建设单位委托</w:t>
      </w:r>
      <w:r>
        <w:rPr>
          <w:rFonts w:hint="eastAsia" w:cs="Times New Roman"/>
          <w:color w:val="auto"/>
          <w:highlight w:val="none"/>
          <w:lang w:eastAsia="zh-CN"/>
        </w:rPr>
        <w:t>四川国泰民安科技有限公司</w:t>
      </w:r>
      <w:r>
        <w:rPr>
          <w:rFonts w:hint="eastAsia" w:cs="Times New Roman"/>
          <w:color w:val="auto"/>
          <w:highlight w:val="none"/>
        </w:rPr>
        <w:t>编制本项目水土保持方案报告书。</w:t>
      </w:r>
    </w:p>
    <w:p>
      <w:pPr>
        <w:ind w:firstLine="480"/>
        <w:rPr>
          <w:rFonts w:cs="Times New Roman"/>
          <w:color w:val="auto"/>
          <w:highlight w:val="none"/>
        </w:rPr>
      </w:pPr>
      <w:r>
        <w:rPr>
          <w:rFonts w:hint="eastAsia" w:cs="Times New Roman"/>
          <w:color w:val="auto"/>
          <w:highlight w:val="none"/>
        </w:rPr>
        <w:t>接受委托后，编制单位技术人员于2016年</w:t>
      </w:r>
      <w:r>
        <w:rPr>
          <w:rFonts w:hint="eastAsia" w:cs="Times New Roman"/>
          <w:color w:val="auto"/>
          <w:highlight w:val="none"/>
          <w:lang w:val="en-US" w:eastAsia="zh-CN"/>
        </w:rPr>
        <w:t>6</w:t>
      </w:r>
      <w:r>
        <w:rPr>
          <w:rFonts w:hint="eastAsia" w:cs="Times New Roman"/>
          <w:color w:val="auto"/>
          <w:highlight w:val="none"/>
        </w:rPr>
        <w:t>月查勘了工程现场，并根据本工程设计资料及其他相关资料进行水土保持方案编制。2016年</w:t>
      </w:r>
      <w:r>
        <w:rPr>
          <w:rFonts w:hint="eastAsia" w:cs="Times New Roman"/>
          <w:color w:val="auto"/>
          <w:highlight w:val="none"/>
          <w:lang w:val="en-US" w:eastAsia="zh-CN"/>
        </w:rPr>
        <w:t>7</w:t>
      </w:r>
      <w:r>
        <w:rPr>
          <w:rFonts w:hint="eastAsia" w:cs="Times New Roman"/>
          <w:color w:val="auto"/>
          <w:highlight w:val="none"/>
        </w:rPr>
        <w:t>月，</w:t>
      </w:r>
      <w:r>
        <w:rPr>
          <w:rFonts w:hint="eastAsia" w:cs="Times New Roman"/>
          <w:color w:val="auto"/>
          <w:highlight w:val="none"/>
          <w:lang w:eastAsia="zh-CN"/>
        </w:rPr>
        <w:t>天府新区成都管委会规划建设局</w:t>
      </w:r>
      <w:r>
        <w:rPr>
          <w:rFonts w:hint="eastAsia" w:cs="Times New Roman"/>
          <w:color w:val="auto"/>
          <w:highlight w:val="none"/>
        </w:rPr>
        <w:t>组织开展了《</w:t>
      </w:r>
      <w:r>
        <w:rPr>
          <w:rFonts w:hint="eastAsia" w:cs="Times New Roman"/>
          <w:color w:val="auto"/>
          <w:highlight w:val="none"/>
          <w:lang w:eastAsia="zh-CN"/>
        </w:rPr>
        <w:t>上海千缘汽车车身模具有限公司关于汽车零部件制造的项目</w:t>
      </w:r>
      <w:r>
        <w:rPr>
          <w:rFonts w:hint="eastAsia" w:cs="Times New Roman"/>
          <w:color w:val="auto"/>
          <w:highlight w:val="none"/>
        </w:rPr>
        <w:t>水土保持方案报告书（送审稿）》的技术审查工作，并形成技术评审意见，随后方案编制单位根据专家组技术评审意见对报告书进行了补充、完善；</w:t>
      </w:r>
    </w:p>
    <w:p>
      <w:pPr>
        <w:ind w:firstLine="480"/>
        <w:rPr>
          <w:rFonts w:cs="Times New Roman"/>
          <w:color w:val="auto"/>
          <w:highlight w:val="none"/>
        </w:rPr>
      </w:pPr>
      <w:r>
        <w:rPr>
          <w:rFonts w:hint="eastAsia" w:cs="Times New Roman"/>
          <w:color w:val="auto"/>
          <w:highlight w:val="none"/>
          <w:lang w:eastAsia="zh-CN"/>
        </w:rPr>
        <w:t>2016年</w:t>
      </w:r>
      <w:r>
        <w:rPr>
          <w:rFonts w:hint="eastAsia" w:cs="Times New Roman"/>
          <w:color w:val="auto"/>
          <w:highlight w:val="none"/>
          <w:lang w:val="en-US" w:eastAsia="zh-CN"/>
        </w:rPr>
        <w:t>8</w:t>
      </w:r>
      <w:r>
        <w:rPr>
          <w:rFonts w:hint="eastAsia" w:cs="Times New Roman"/>
          <w:color w:val="auto"/>
          <w:highlight w:val="none"/>
          <w:lang w:eastAsia="zh-CN"/>
        </w:rPr>
        <w:t>月</w:t>
      </w:r>
      <w:r>
        <w:rPr>
          <w:rFonts w:hint="eastAsia" w:cs="Times New Roman"/>
          <w:color w:val="auto"/>
          <w:highlight w:val="none"/>
        </w:rPr>
        <w:t>上旬编制单位修编完成《</w:t>
      </w:r>
      <w:r>
        <w:rPr>
          <w:rFonts w:hint="eastAsia" w:cs="Times New Roman"/>
          <w:color w:val="auto"/>
          <w:highlight w:val="none"/>
          <w:lang w:eastAsia="zh-CN"/>
        </w:rPr>
        <w:t>上海千缘汽车车身模具有限公司关于汽车零部件制造的项目</w:t>
      </w:r>
      <w:r>
        <w:rPr>
          <w:rFonts w:hint="eastAsia" w:cs="Times New Roman"/>
          <w:color w:val="auto"/>
          <w:highlight w:val="none"/>
        </w:rPr>
        <w:t>水土保持方案报告书（报批稿）》；</w:t>
      </w:r>
    </w:p>
    <w:p>
      <w:pPr>
        <w:ind w:firstLine="480"/>
        <w:rPr>
          <w:rFonts w:cs="Times New Roman"/>
          <w:color w:val="auto"/>
          <w:highlight w:val="none"/>
        </w:rPr>
      </w:pPr>
      <w:r>
        <w:rPr>
          <w:rFonts w:hint="eastAsia" w:cs="Times New Roman"/>
          <w:color w:val="auto"/>
          <w:highlight w:val="none"/>
          <w:lang w:eastAsia="zh-CN"/>
        </w:rPr>
        <w:t>2016年8月29日</w:t>
      </w:r>
      <w:r>
        <w:rPr>
          <w:rFonts w:hint="eastAsia" w:cs="Times New Roman"/>
          <w:color w:val="auto"/>
          <w:highlight w:val="none"/>
        </w:rPr>
        <w:t>，</w:t>
      </w:r>
      <w:r>
        <w:rPr>
          <w:rFonts w:hint="eastAsia" w:cs="Times New Roman"/>
          <w:color w:val="auto"/>
          <w:highlight w:val="none"/>
          <w:lang w:eastAsia="zh-CN"/>
        </w:rPr>
        <w:t>天府新区成都管委会规划建设局</w:t>
      </w:r>
      <w:r>
        <w:rPr>
          <w:rFonts w:hint="eastAsia" w:cs="Times New Roman"/>
          <w:color w:val="auto"/>
          <w:highlight w:val="none"/>
        </w:rPr>
        <w:t>对《</w:t>
      </w:r>
      <w:r>
        <w:rPr>
          <w:rFonts w:hint="eastAsia" w:cs="Times New Roman"/>
          <w:color w:val="auto"/>
          <w:highlight w:val="none"/>
          <w:lang w:eastAsia="zh-CN"/>
        </w:rPr>
        <w:t>上海千缘汽车车身模具有限公司关于汽车零部件制造的项目</w:t>
      </w:r>
      <w:r>
        <w:rPr>
          <w:rFonts w:hint="eastAsia" w:cs="Times New Roman"/>
          <w:color w:val="auto"/>
          <w:highlight w:val="none"/>
        </w:rPr>
        <w:t>水土保持方案报告书》进行了批复（</w:t>
      </w:r>
      <w:r>
        <w:rPr>
          <w:rFonts w:hint="eastAsia" w:cs="Times New Roman"/>
          <w:color w:val="auto"/>
          <w:highlight w:val="none"/>
          <w:lang w:eastAsia="zh-CN"/>
        </w:rPr>
        <w:t>天成管规建城复[2016]210号</w:t>
      </w:r>
      <w:r>
        <w:rPr>
          <w:rFonts w:hint="eastAsia" w:cs="Times New Roman"/>
          <w:color w:val="auto"/>
          <w:highlight w:val="none"/>
        </w:rPr>
        <w:t>）。</w:t>
      </w:r>
    </w:p>
    <w:p>
      <w:pPr>
        <w:pStyle w:val="3"/>
        <w:rPr>
          <w:rFonts w:cs="Times New Roman"/>
          <w:color w:val="auto"/>
          <w:highlight w:val="none"/>
        </w:rPr>
      </w:pPr>
      <w:bookmarkStart w:id="8" w:name="_Toc11229"/>
      <w:r>
        <w:rPr>
          <w:rFonts w:cs="Times New Roman"/>
          <w:color w:val="auto"/>
          <w:highlight w:val="none"/>
        </w:rPr>
        <w:t>水土保持方案变更</w:t>
      </w:r>
      <w:bookmarkEnd w:id="8"/>
    </w:p>
    <w:p>
      <w:pPr>
        <w:pStyle w:val="4"/>
        <w:rPr>
          <w:rFonts w:cs="Times New Roman"/>
          <w:color w:val="auto"/>
          <w:highlight w:val="none"/>
        </w:rPr>
      </w:pPr>
      <w:r>
        <w:rPr>
          <w:rFonts w:cs="Times New Roman"/>
          <w:color w:val="auto"/>
          <w:highlight w:val="none"/>
        </w:rPr>
        <w:t>水土保持</w:t>
      </w:r>
      <w:r>
        <w:rPr>
          <w:rFonts w:hint="eastAsia" w:cs="Times New Roman"/>
          <w:color w:val="auto"/>
          <w:highlight w:val="none"/>
        </w:rPr>
        <w:t>措施变化情况</w:t>
      </w:r>
    </w:p>
    <w:p>
      <w:pPr>
        <w:wordWrap w:val="0"/>
        <w:ind w:firstLine="480"/>
        <w:rPr>
          <w:color w:val="auto"/>
          <w:highlight w:val="none"/>
        </w:rPr>
      </w:pPr>
      <w:r>
        <w:rPr>
          <w:rFonts w:hint="eastAsia"/>
          <w:color w:val="auto"/>
          <w:highlight w:val="none"/>
        </w:rPr>
        <w:t>建设单位在施工过程中高度重视水土保持工作，按方案设计要求，在不改变方案设计水土流失防治措施体系框架的原则下对实施的工程措施、植物措施等措施进行了调整，且达到了方案设计的水土流失防治要求及目标，项目无水土保持设计重大变更。工程水土保持工程措施具体有以下几个方面的变化：</w:t>
      </w:r>
    </w:p>
    <w:p>
      <w:pPr>
        <w:pStyle w:val="5"/>
        <w:rPr>
          <w:color w:val="auto"/>
          <w:highlight w:val="none"/>
        </w:rPr>
      </w:pPr>
      <w:r>
        <w:rPr>
          <w:rFonts w:hint="eastAsia"/>
          <w:color w:val="auto"/>
          <w:highlight w:val="none"/>
        </w:rPr>
        <w:t>工程措施</w:t>
      </w:r>
    </w:p>
    <w:p>
      <w:pPr>
        <w:ind w:firstLine="480"/>
        <w:rPr>
          <w:color w:val="auto"/>
          <w:highlight w:val="none"/>
        </w:rPr>
      </w:pPr>
      <w:r>
        <w:rPr>
          <w:rFonts w:hint="eastAsia"/>
          <w:color w:val="auto"/>
          <w:highlight w:val="none"/>
        </w:rPr>
        <w:t>由于批复方案编制深度为可研阶段，实际施工过程中根据工程具体情况在原方案设计的基础上进行了优化调整，有利于项目水土保持。根据现场调查及查阅施工期间资料，目前各项措施现阶段已充分发挥水土保持效益，基本无水土流失危害。</w:t>
      </w:r>
    </w:p>
    <w:p>
      <w:pPr>
        <w:pStyle w:val="5"/>
        <w:rPr>
          <w:color w:val="auto"/>
          <w:highlight w:val="none"/>
        </w:rPr>
      </w:pPr>
      <w:r>
        <w:rPr>
          <w:rFonts w:hint="eastAsia"/>
          <w:color w:val="auto"/>
          <w:highlight w:val="none"/>
        </w:rPr>
        <w:t>植物措施</w:t>
      </w:r>
    </w:p>
    <w:p>
      <w:pPr>
        <w:ind w:firstLine="480"/>
        <w:rPr>
          <w:color w:val="auto"/>
          <w:highlight w:val="none"/>
        </w:rPr>
      </w:pPr>
      <w:r>
        <w:rPr>
          <w:rFonts w:hint="eastAsia"/>
          <w:color w:val="auto"/>
          <w:highlight w:val="none"/>
        </w:rPr>
        <w:t>由于批复方案编制深度为可研阶段，实际施工过程中根据工程具体情况在原方案设计的基础上进行了优化调整，施工过程中对工程扰动区域进行绿化，目前恢复状况良好，均达到了方案设计的水土流失防治要求及目标，各类措施布局合理，取得了良好的水土保持效果，有效的防治了因工程建设而产生的新增水土流失。</w:t>
      </w:r>
    </w:p>
    <w:p>
      <w:pPr>
        <w:pStyle w:val="5"/>
        <w:rPr>
          <w:color w:val="auto"/>
          <w:highlight w:val="none"/>
        </w:rPr>
      </w:pPr>
      <w:r>
        <w:rPr>
          <w:rFonts w:hint="eastAsia"/>
          <w:color w:val="auto"/>
          <w:highlight w:val="none"/>
        </w:rPr>
        <w:t>临时措施</w:t>
      </w:r>
    </w:p>
    <w:p>
      <w:pPr>
        <w:ind w:firstLine="480"/>
        <w:rPr>
          <w:color w:val="auto"/>
          <w:highlight w:val="none"/>
        </w:rPr>
      </w:pPr>
      <w:r>
        <w:rPr>
          <w:rFonts w:hint="eastAsia"/>
          <w:color w:val="auto"/>
          <w:highlight w:val="none"/>
        </w:rPr>
        <w:t>方案设计的临时措施主要为剥离表土的拦挡措施、</w:t>
      </w:r>
      <w:r>
        <w:rPr>
          <w:rFonts w:hint="eastAsia"/>
          <w:color w:val="auto"/>
          <w:highlight w:val="none"/>
          <w:lang w:val="en-US" w:eastAsia="zh-CN"/>
        </w:rPr>
        <w:t>临时排水措施</w:t>
      </w:r>
      <w:r>
        <w:rPr>
          <w:rFonts w:hint="eastAsia"/>
          <w:color w:val="auto"/>
          <w:highlight w:val="none"/>
        </w:rPr>
        <w:t>，根据实际调查。通过查阅施工期间资料，实际临时工程与水土保持方案措施类型基本一致，但部分区域措施量根据实际施工情况进行了相应的调整，有利于水土保持，满足水土保持要求。</w:t>
      </w:r>
    </w:p>
    <w:p>
      <w:pPr>
        <w:pStyle w:val="4"/>
        <w:rPr>
          <w:rFonts w:cs="Times New Roman"/>
          <w:color w:val="auto"/>
          <w:highlight w:val="none"/>
        </w:rPr>
      </w:pPr>
      <w:r>
        <w:rPr>
          <w:rFonts w:cs="Times New Roman"/>
          <w:color w:val="auto"/>
          <w:highlight w:val="none"/>
        </w:rPr>
        <w:t>水土保持方案重大变更</w:t>
      </w:r>
    </w:p>
    <w:p>
      <w:pPr>
        <w:ind w:firstLine="480"/>
        <w:rPr>
          <w:rFonts w:cs="Times New Roman"/>
          <w:color w:val="auto"/>
          <w:highlight w:val="none"/>
        </w:rPr>
      </w:pPr>
      <w:r>
        <w:rPr>
          <w:rFonts w:cs="Times New Roman"/>
          <w:color w:val="auto"/>
          <w:highlight w:val="none"/>
        </w:rPr>
        <w:t>根据《水利部生产建设项目水土保持方案变更管理规定（试行）》的通知（办水保〔2016〕65号）和四川省水利厅关于印发四川省生产建设项目水土保持措施变更管理办法（试行）的通知》（川水函〔2015〕1561号），本工程水土保持措施无重大变更，其对比分析详见表2.3-1所示。</w:t>
      </w:r>
    </w:p>
    <w:p>
      <w:pPr>
        <w:pStyle w:val="15"/>
        <w:rPr>
          <w:color w:val="auto"/>
          <w:highlight w:val="none"/>
        </w:rPr>
      </w:pPr>
      <w:r>
        <w:rPr>
          <w:color w:val="auto"/>
          <w:highlight w:val="none"/>
        </w:rPr>
        <w:t>表2.3-1 变更条件对照表</w:t>
      </w:r>
    </w:p>
    <w:tbl>
      <w:tblPr>
        <w:tblStyle w:val="11"/>
        <w:tblpPr w:leftFromText="180" w:rightFromText="180" w:vertAnchor="text" w:horzAnchor="margin" w:tblpY="58"/>
        <w:tblW w:w="9286"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70"/>
        <w:gridCol w:w="4299"/>
        <w:gridCol w:w="3017"/>
        <w:gridCol w:w="130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b/>
                <w:color w:val="auto"/>
                <w:highlight w:val="none"/>
              </w:rPr>
            </w:pPr>
            <w:r>
              <w:rPr>
                <w:b/>
                <w:color w:val="auto"/>
                <w:highlight w:val="none"/>
              </w:rPr>
              <w:t>序号</w:t>
            </w:r>
          </w:p>
        </w:tc>
        <w:tc>
          <w:tcPr>
            <w:tcW w:w="4299" w:type="dxa"/>
            <w:shd w:val="clear" w:color="auto" w:fill="auto"/>
            <w:vAlign w:val="center"/>
          </w:tcPr>
          <w:p>
            <w:pPr>
              <w:pStyle w:val="16"/>
              <w:rPr>
                <w:b/>
                <w:color w:val="auto"/>
                <w:highlight w:val="none"/>
              </w:rPr>
            </w:pPr>
            <w:r>
              <w:rPr>
                <w:b/>
                <w:color w:val="auto"/>
                <w:highlight w:val="none"/>
              </w:rPr>
              <w:t>《水利部生产建设项目水土保持方案变更管理规定（试行）》（办水保〔2016〕65号）相关规定</w:t>
            </w:r>
          </w:p>
        </w:tc>
        <w:tc>
          <w:tcPr>
            <w:tcW w:w="3017" w:type="dxa"/>
            <w:shd w:val="clear" w:color="auto" w:fill="auto"/>
            <w:vAlign w:val="center"/>
          </w:tcPr>
          <w:p>
            <w:pPr>
              <w:pStyle w:val="16"/>
              <w:rPr>
                <w:b/>
                <w:color w:val="auto"/>
                <w:highlight w:val="none"/>
              </w:rPr>
            </w:pPr>
            <w:r>
              <w:rPr>
                <w:b/>
                <w:color w:val="auto"/>
                <w:highlight w:val="none"/>
              </w:rPr>
              <w:t>项目实际情况</w:t>
            </w:r>
          </w:p>
        </w:tc>
        <w:tc>
          <w:tcPr>
            <w:tcW w:w="1300" w:type="dxa"/>
            <w:shd w:val="clear" w:color="auto" w:fill="auto"/>
            <w:vAlign w:val="center"/>
          </w:tcPr>
          <w:p>
            <w:pPr>
              <w:pStyle w:val="16"/>
              <w:rPr>
                <w:b/>
                <w:color w:val="auto"/>
                <w:highlight w:val="none"/>
              </w:rPr>
            </w:pPr>
            <w:r>
              <w:rPr>
                <w:b/>
                <w:color w:val="auto"/>
                <w:highlight w:val="none"/>
              </w:rPr>
              <w:t>变化是否达到变更报批条件</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（一）</w:t>
            </w:r>
          </w:p>
        </w:tc>
        <w:tc>
          <w:tcPr>
            <w:tcW w:w="4299" w:type="dxa"/>
            <w:shd w:val="clear" w:color="auto" w:fill="auto"/>
            <w:vAlign w:val="center"/>
          </w:tcPr>
          <w:p>
            <w:pPr>
              <w:pStyle w:val="16"/>
              <w:rPr>
                <w:color w:val="auto"/>
                <w:highlight w:val="none"/>
              </w:rPr>
            </w:pPr>
            <w:r>
              <w:rPr>
                <w:color w:val="auto"/>
                <w:highlight w:val="none"/>
              </w:rPr>
              <w:t>第三条：水土保持方案经批准后，生产建设项目地点、规模发生重大变化，有下列情形之一的，生产建设单位应当补充或者修改水土保持方案，报水利部审批</w:t>
            </w:r>
          </w:p>
        </w:tc>
        <w:tc>
          <w:tcPr>
            <w:tcW w:w="3017" w:type="dxa"/>
            <w:shd w:val="clear" w:color="auto" w:fill="auto"/>
            <w:vAlign w:val="center"/>
          </w:tcPr>
          <w:p>
            <w:pPr>
              <w:pStyle w:val="16"/>
              <w:rPr>
                <w:color w:val="auto"/>
                <w:highlight w:val="none"/>
              </w:rPr>
            </w:pPr>
          </w:p>
        </w:tc>
        <w:tc>
          <w:tcPr>
            <w:tcW w:w="1300" w:type="dxa"/>
            <w:shd w:val="clear" w:color="auto" w:fill="auto"/>
            <w:vAlign w:val="center"/>
          </w:tcPr>
          <w:p>
            <w:pPr>
              <w:pStyle w:val="16"/>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1</w:t>
            </w:r>
          </w:p>
        </w:tc>
        <w:tc>
          <w:tcPr>
            <w:tcW w:w="4299" w:type="dxa"/>
            <w:shd w:val="clear" w:color="auto" w:fill="auto"/>
            <w:vAlign w:val="center"/>
          </w:tcPr>
          <w:p>
            <w:pPr>
              <w:pStyle w:val="16"/>
              <w:rPr>
                <w:color w:val="auto"/>
                <w:highlight w:val="none"/>
              </w:rPr>
            </w:pPr>
            <w:r>
              <w:rPr>
                <w:color w:val="auto"/>
                <w:highlight w:val="none"/>
              </w:rPr>
              <w:t>涉及国家级和省级水土流失重点预防区或者重点治理区的</w:t>
            </w:r>
          </w:p>
        </w:tc>
        <w:tc>
          <w:tcPr>
            <w:tcW w:w="3017" w:type="dxa"/>
            <w:shd w:val="clear" w:color="auto" w:fill="auto"/>
            <w:vAlign w:val="center"/>
          </w:tcPr>
          <w:p>
            <w:pPr>
              <w:pStyle w:val="16"/>
              <w:rPr>
                <w:color w:val="auto"/>
                <w:highlight w:val="none"/>
              </w:rPr>
            </w:pPr>
            <w:r>
              <w:rPr>
                <w:color w:val="auto"/>
                <w:highlight w:val="none"/>
              </w:rPr>
              <w:t>相关区域与批复的方案一致</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2</w:t>
            </w:r>
          </w:p>
        </w:tc>
        <w:tc>
          <w:tcPr>
            <w:tcW w:w="4299" w:type="dxa"/>
            <w:shd w:val="clear" w:color="auto" w:fill="auto"/>
            <w:vAlign w:val="center"/>
          </w:tcPr>
          <w:p>
            <w:pPr>
              <w:pStyle w:val="16"/>
              <w:rPr>
                <w:color w:val="auto"/>
                <w:highlight w:val="none"/>
              </w:rPr>
            </w:pPr>
            <w:r>
              <w:rPr>
                <w:color w:val="auto"/>
                <w:highlight w:val="none"/>
              </w:rPr>
              <w:t>水土流失防治责任范围增加30%以上的</w:t>
            </w:r>
          </w:p>
        </w:tc>
        <w:tc>
          <w:tcPr>
            <w:tcW w:w="3017" w:type="dxa"/>
            <w:shd w:val="clear" w:color="auto" w:fill="auto"/>
            <w:vAlign w:val="center"/>
          </w:tcPr>
          <w:p>
            <w:pPr>
              <w:pStyle w:val="16"/>
              <w:rPr>
                <w:color w:val="auto"/>
                <w:highlight w:val="none"/>
              </w:rPr>
            </w:pPr>
            <w:r>
              <w:rPr>
                <w:rFonts w:hint="eastAsia"/>
                <w:color w:val="auto"/>
                <w:highlight w:val="none"/>
              </w:rPr>
              <w:t>批复方案</w:t>
            </w:r>
            <w:r>
              <w:rPr>
                <w:color w:val="auto"/>
                <w:highlight w:val="none"/>
              </w:rPr>
              <w:t>水土流失防治责任范围</w:t>
            </w:r>
            <w:r>
              <w:rPr>
                <w:rFonts w:hint="eastAsia"/>
                <w:color w:val="auto"/>
                <w:highlight w:val="none"/>
                <w:lang w:eastAsia="zh-CN"/>
              </w:rPr>
              <w:t>4.45</w:t>
            </w:r>
            <w:r>
              <w:rPr>
                <w:rFonts w:hint="eastAsia"/>
                <w:color w:val="auto"/>
                <w:highlight w:val="none"/>
              </w:rPr>
              <w:t>hm</w:t>
            </w:r>
            <w:r>
              <w:rPr>
                <w:rFonts w:hint="eastAsia"/>
                <w:color w:val="auto"/>
                <w:highlight w:val="none"/>
                <w:vertAlign w:val="superscript"/>
              </w:rPr>
              <w:t>2</w:t>
            </w:r>
            <w:r>
              <w:rPr>
                <w:rFonts w:hint="eastAsia"/>
                <w:color w:val="auto"/>
                <w:highlight w:val="none"/>
              </w:rPr>
              <w:t>，实际</w:t>
            </w:r>
            <w:r>
              <w:rPr>
                <w:color w:val="auto"/>
                <w:highlight w:val="none"/>
              </w:rPr>
              <w:t>防治责任范围</w:t>
            </w:r>
            <w:r>
              <w:rPr>
                <w:rFonts w:hint="eastAsia"/>
                <w:color w:val="auto"/>
                <w:highlight w:val="none"/>
                <w:lang w:eastAsia="zh-CN"/>
              </w:rPr>
              <w:t>4.45</w:t>
            </w:r>
            <w:r>
              <w:rPr>
                <w:rFonts w:hint="eastAsia"/>
                <w:color w:val="auto"/>
                <w:highlight w:val="none"/>
              </w:rPr>
              <w:t>hm</w:t>
            </w:r>
            <w:r>
              <w:rPr>
                <w:rFonts w:hint="eastAsia"/>
                <w:color w:val="auto"/>
                <w:highlight w:val="none"/>
                <w:vertAlign w:val="superscript"/>
              </w:rPr>
              <w:t>2</w:t>
            </w:r>
            <w:r>
              <w:rPr>
                <w:rFonts w:hint="eastAsia"/>
                <w:color w:val="auto"/>
                <w:highlight w:val="none"/>
              </w:rPr>
              <w:t>，未增加</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3</w:t>
            </w:r>
          </w:p>
        </w:tc>
        <w:tc>
          <w:tcPr>
            <w:tcW w:w="4299" w:type="dxa"/>
            <w:shd w:val="clear" w:color="auto" w:fill="auto"/>
            <w:vAlign w:val="center"/>
          </w:tcPr>
          <w:p>
            <w:pPr>
              <w:pStyle w:val="16"/>
              <w:rPr>
                <w:color w:val="auto"/>
                <w:highlight w:val="none"/>
              </w:rPr>
            </w:pPr>
            <w:r>
              <w:rPr>
                <w:color w:val="auto"/>
                <w:highlight w:val="none"/>
              </w:rPr>
              <w:t>开挖填筑土石方总量增加30%以上的</w:t>
            </w:r>
          </w:p>
        </w:tc>
        <w:tc>
          <w:tcPr>
            <w:tcW w:w="3017" w:type="dxa"/>
            <w:shd w:val="clear" w:color="auto" w:fill="auto"/>
            <w:vAlign w:val="center"/>
          </w:tcPr>
          <w:p>
            <w:pPr>
              <w:pStyle w:val="16"/>
              <w:rPr>
                <w:color w:val="auto"/>
                <w:highlight w:val="none"/>
              </w:rPr>
            </w:pPr>
            <w:r>
              <w:rPr>
                <w:rFonts w:hint="eastAsia"/>
                <w:color w:val="auto"/>
                <w:highlight w:val="none"/>
              </w:rPr>
              <w:t>批复方案设计</w:t>
            </w:r>
            <w:r>
              <w:rPr>
                <w:color w:val="auto"/>
                <w:highlight w:val="none"/>
              </w:rPr>
              <w:t>挖填土石方总量</w:t>
            </w:r>
            <w:r>
              <w:rPr>
                <w:rFonts w:hint="eastAsia"/>
                <w:color w:val="auto"/>
                <w:highlight w:val="none"/>
                <w:lang w:eastAsia="zh-CN"/>
              </w:rPr>
              <w:t>15.78</w:t>
            </w:r>
            <w:r>
              <w:rPr>
                <w:rFonts w:hint="eastAsia"/>
                <w:color w:val="auto"/>
                <w:highlight w:val="none"/>
              </w:rPr>
              <w:t>万m</w:t>
            </w:r>
            <w:r>
              <w:rPr>
                <w:rFonts w:hint="eastAsia"/>
                <w:color w:val="auto"/>
                <w:highlight w:val="none"/>
                <w:vertAlign w:val="superscript"/>
              </w:rPr>
              <w:t>3</w:t>
            </w:r>
            <w:r>
              <w:rPr>
                <w:rFonts w:hint="eastAsia"/>
                <w:color w:val="auto"/>
                <w:highlight w:val="none"/>
              </w:rPr>
              <w:t>，实际挖填土方总量</w:t>
            </w:r>
            <w:r>
              <w:rPr>
                <w:rFonts w:hint="eastAsia"/>
                <w:color w:val="auto"/>
                <w:highlight w:val="none"/>
                <w:lang w:eastAsia="zh-CN"/>
              </w:rPr>
              <w:t>15.78</w:t>
            </w:r>
            <w:r>
              <w:rPr>
                <w:rFonts w:hint="eastAsia"/>
                <w:color w:val="auto"/>
                <w:highlight w:val="none"/>
              </w:rPr>
              <w:t>万m</w:t>
            </w:r>
            <w:r>
              <w:rPr>
                <w:rFonts w:hint="eastAsia"/>
                <w:color w:val="auto"/>
                <w:highlight w:val="none"/>
                <w:vertAlign w:val="superscript"/>
              </w:rPr>
              <w:t>3</w:t>
            </w:r>
            <w:r>
              <w:rPr>
                <w:rFonts w:hint="eastAsia"/>
                <w:color w:val="auto"/>
                <w:highlight w:val="none"/>
              </w:rPr>
              <w:t>，挖填总量未增加</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4</w:t>
            </w:r>
          </w:p>
        </w:tc>
        <w:tc>
          <w:tcPr>
            <w:tcW w:w="4299" w:type="dxa"/>
            <w:shd w:val="clear" w:color="auto" w:fill="auto"/>
            <w:vAlign w:val="center"/>
          </w:tcPr>
          <w:p>
            <w:pPr>
              <w:pStyle w:val="16"/>
              <w:rPr>
                <w:color w:val="auto"/>
                <w:highlight w:val="none"/>
              </w:rPr>
            </w:pPr>
            <w:r>
              <w:rPr>
                <w:rFonts w:hint="eastAsia"/>
                <w:color w:val="auto"/>
                <w:highlight w:val="none"/>
                <w:lang w:eastAsia="zh-CN"/>
              </w:rPr>
              <w:t>点型</w:t>
            </w:r>
            <w:r>
              <w:rPr>
                <w:color w:val="auto"/>
                <w:highlight w:val="none"/>
              </w:rPr>
              <w:t>工程山区、丘陵区部分横向位移超过300米的长度累计达到该部分线路长度的20%以上的</w:t>
            </w:r>
          </w:p>
        </w:tc>
        <w:tc>
          <w:tcPr>
            <w:tcW w:w="3017" w:type="dxa"/>
            <w:shd w:val="clear" w:color="auto" w:fill="auto"/>
            <w:vAlign w:val="center"/>
          </w:tcPr>
          <w:p>
            <w:pPr>
              <w:pStyle w:val="16"/>
              <w:rPr>
                <w:rFonts w:hint="default" w:eastAsia="仿宋"/>
                <w:color w:val="auto"/>
                <w:spacing w:val="-20"/>
                <w:highlight w:val="none"/>
                <w:lang w:val="en-US" w:eastAsia="zh-CN"/>
              </w:rPr>
            </w:pPr>
            <w:r>
              <w:rPr>
                <w:rFonts w:hint="eastAsia"/>
                <w:color w:val="auto"/>
                <w:highlight w:val="none"/>
                <w:lang w:val="en-US" w:eastAsia="zh-CN"/>
              </w:rPr>
              <w:t>本项目不涉及</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5</w:t>
            </w:r>
          </w:p>
        </w:tc>
        <w:tc>
          <w:tcPr>
            <w:tcW w:w="4299" w:type="dxa"/>
            <w:shd w:val="clear" w:color="auto" w:fill="auto"/>
            <w:vAlign w:val="center"/>
          </w:tcPr>
          <w:p>
            <w:pPr>
              <w:pStyle w:val="16"/>
              <w:rPr>
                <w:color w:val="auto"/>
                <w:highlight w:val="none"/>
              </w:rPr>
            </w:pPr>
            <w:r>
              <w:rPr>
                <w:color w:val="auto"/>
                <w:highlight w:val="none"/>
              </w:rPr>
              <w:t>施工道路或者伴行道路等长度增加20%以上的</w:t>
            </w:r>
          </w:p>
        </w:tc>
        <w:tc>
          <w:tcPr>
            <w:tcW w:w="3017" w:type="dxa"/>
            <w:shd w:val="clear" w:color="auto" w:fill="auto"/>
            <w:vAlign w:val="center"/>
          </w:tcPr>
          <w:p>
            <w:pPr>
              <w:pStyle w:val="16"/>
              <w:rPr>
                <w:color w:val="auto"/>
                <w:highlight w:val="none"/>
              </w:rPr>
            </w:pPr>
            <w:r>
              <w:rPr>
                <w:rFonts w:hint="eastAsia"/>
                <w:color w:val="auto"/>
                <w:highlight w:val="none"/>
                <w:lang w:val="en-US" w:eastAsia="zh-CN"/>
              </w:rPr>
              <w:t>本项目不涉及</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6</w:t>
            </w:r>
          </w:p>
        </w:tc>
        <w:tc>
          <w:tcPr>
            <w:tcW w:w="4299" w:type="dxa"/>
            <w:shd w:val="clear" w:color="auto" w:fill="auto"/>
            <w:vAlign w:val="center"/>
          </w:tcPr>
          <w:p>
            <w:pPr>
              <w:pStyle w:val="16"/>
              <w:rPr>
                <w:color w:val="auto"/>
                <w:highlight w:val="none"/>
              </w:rPr>
            </w:pPr>
            <w:r>
              <w:rPr>
                <w:color w:val="auto"/>
                <w:highlight w:val="none"/>
              </w:rPr>
              <w:t>桥梁改路堤或者隧道改路堑累计长度20公里以上的</w:t>
            </w:r>
          </w:p>
        </w:tc>
        <w:tc>
          <w:tcPr>
            <w:tcW w:w="3017" w:type="dxa"/>
            <w:shd w:val="clear" w:color="auto" w:fill="auto"/>
            <w:vAlign w:val="center"/>
          </w:tcPr>
          <w:p>
            <w:pPr>
              <w:pStyle w:val="16"/>
              <w:rPr>
                <w:color w:val="auto"/>
                <w:highlight w:val="none"/>
              </w:rPr>
            </w:pPr>
            <w:r>
              <w:rPr>
                <w:rFonts w:hint="eastAsia"/>
                <w:color w:val="auto"/>
                <w:highlight w:val="none"/>
                <w:lang w:val="en-US" w:eastAsia="zh-CN"/>
              </w:rPr>
              <w:t>本项目不涉及</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（二）</w:t>
            </w:r>
          </w:p>
        </w:tc>
        <w:tc>
          <w:tcPr>
            <w:tcW w:w="4299" w:type="dxa"/>
            <w:shd w:val="clear" w:color="auto" w:fill="auto"/>
            <w:vAlign w:val="center"/>
          </w:tcPr>
          <w:p>
            <w:pPr>
              <w:pStyle w:val="16"/>
              <w:rPr>
                <w:color w:val="auto"/>
                <w:highlight w:val="none"/>
              </w:rPr>
            </w:pPr>
            <w:r>
              <w:rPr>
                <w:color w:val="auto"/>
                <w:highlight w:val="none"/>
              </w:rPr>
              <w:t>第四条：水土保持方案实施过程中，水土保持措施发生下列重大变更之一的，生产建设单位应当补充或者修改水土保持方案，报水利部审批</w:t>
            </w:r>
          </w:p>
        </w:tc>
        <w:tc>
          <w:tcPr>
            <w:tcW w:w="3017" w:type="dxa"/>
            <w:shd w:val="clear" w:color="auto" w:fill="auto"/>
            <w:vAlign w:val="center"/>
          </w:tcPr>
          <w:p>
            <w:pPr>
              <w:pStyle w:val="16"/>
              <w:rPr>
                <w:color w:val="auto"/>
                <w:highlight w:val="none"/>
              </w:rPr>
            </w:pPr>
          </w:p>
        </w:tc>
        <w:tc>
          <w:tcPr>
            <w:tcW w:w="1300" w:type="dxa"/>
            <w:shd w:val="clear" w:color="auto" w:fill="auto"/>
            <w:vAlign w:val="center"/>
          </w:tcPr>
          <w:p>
            <w:pPr>
              <w:pStyle w:val="16"/>
              <w:rPr>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1</w:t>
            </w:r>
          </w:p>
        </w:tc>
        <w:tc>
          <w:tcPr>
            <w:tcW w:w="4299" w:type="dxa"/>
            <w:shd w:val="clear" w:color="auto" w:fill="auto"/>
            <w:vAlign w:val="center"/>
          </w:tcPr>
          <w:p>
            <w:pPr>
              <w:pStyle w:val="16"/>
              <w:rPr>
                <w:color w:val="auto"/>
                <w:highlight w:val="none"/>
              </w:rPr>
            </w:pPr>
            <w:r>
              <w:rPr>
                <w:color w:val="auto"/>
                <w:highlight w:val="none"/>
              </w:rPr>
              <w:t>表土剥离量减少30%以上的</w:t>
            </w:r>
          </w:p>
        </w:tc>
        <w:tc>
          <w:tcPr>
            <w:tcW w:w="3017" w:type="dxa"/>
            <w:shd w:val="clear" w:color="auto" w:fill="auto"/>
            <w:vAlign w:val="center"/>
          </w:tcPr>
          <w:p>
            <w:pPr>
              <w:pStyle w:val="16"/>
              <w:rPr>
                <w:color w:val="auto"/>
                <w:highlight w:val="none"/>
              </w:rPr>
            </w:pPr>
            <w:r>
              <w:rPr>
                <w:rFonts w:hint="eastAsia"/>
                <w:color w:val="auto"/>
                <w:highlight w:val="none"/>
              </w:rPr>
              <w:t>批复水保方案设计表土剥离量为</w:t>
            </w:r>
            <w:r>
              <w:rPr>
                <w:rFonts w:hint="eastAsia"/>
                <w:color w:val="auto"/>
                <w:highlight w:val="none"/>
                <w:lang w:eastAsia="zh-CN"/>
              </w:rPr>
              <w:t>0.09</w:t>
            </w:r>
            <w:r>
              <w:rPr>
                <w:rFonts w:hint="eastAsia"/>
                <w:color w:val="auto"/>
                <w:highlight w:val="none"/>
              </w:rPr>
              <w:t>万m</w:t>
            </w:r>
            <w:r>
              <w:rPr>
                <w:rFonts w:hint="eastAsia"/>
                <w:color w:val="auto"/>
                <w:highlight w:val="none"/>
                <w:vertAlign w:val="superscript"/>
              </w:rPr>
              <w:t>3</w:t>
            </w:r>
            <w:r>
              <w:rPr>
                <w:rFonts w:hint="eastAsia"/>
                <w:color w:val="auto"/>
                <w:highlight w:val="none"/>
              </w:rPr>
              <w:t>，实际表土剥离量为</w:t>
            </w:r>
            <w:r>
              <w:rPr>
                <w:rFonts w:hint="eastAsia"/>
                <w:color w:val="auto"/>
                <w:highlight w:val="none"/>
                <w:lang w:eastAsia="zh-CN"/>
              </w:rPr>
              <w:t>0.09</w:t>
            </w:r>
            <w:r>
              <w:rPr>
                <w:rFonts w:hint="eastAsia"/>
                <w:color w:val="auto"/>
                <w:highlight w:val="none"/>
              </w:rPr>
              <w:t>万m</w:t>
            </w:r>
            <w:r>
              <w:rPr>
                <w:rFonts w:hint="eastAsia"/>
                <w:color w:val="auto"/>
                <w:highlight w:val="none"/>
                <w:vertAlign w:val="superscript"/>
              </w:rPr>
              <w:t>3</w:t>
            </w:r>
            <w:r>
              <w:rPr>
                <w:rFonts w:hint="eastAsia"/>
                <w:color w:val="auto"/>
                <w:highlight w:val="none"/>
              </w:rPr>
              <w:t>，无变化</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2</w:t>
            </w:r>
          </w:p>
        </w:tc>
        <w:tc>
          <w:tcPr>
            <w:tcW w:w="4299" w:type="dxa"/>
            <w:shd w:val="clear" w:color="auto" w:fill="auto"/>
            <w:vAlign w:val="center"/>
          </w:tcPr>
          <w:p>
            <w:pPr>
              <w:pStyle w:val="16"/>
              <w:rPr>
                <w:color w:val="auto"/>
                <w:highlight w:val="none"/>
              </w:rPr>
            </w:pPr>
            <w:r>
              <w:rPr>
                <w:color w:val="auto"/>
                <w:highlight w:val="none"/>
              </w:rPr>
              <w:t>植物措施面积减少30%以上的</w:t>
            </w:r>
          </w:p>
        </w:tc>
        <w:tc>
          <w:tcPr>
            <w:tcW w:w="3017" w:type="dxa"/>
            <w:shd w:val="clear" w:color="auto" w:fill="auto"/>
            <w:vAlign w:val="center"/>
          </w:tcPr>
          <w:p>
            <w:pPr>
              <w:pStyle w:val="16"/>
              <w:rPr>
                <w:color w:val="auto"/>
                <w:highlight w:val="none"/>
              </w:rPr>
            </w:pPr>
            <w:r>
              <w:rPr>
                <w:rFonts w:hint="eastAsia"/>
                <w:color w:val="auto"/>
                <w:highlight w:val="none"/>
              </w:rPr>
              <w:t>批复方案设计植物措施面积</w:t>
            </w:r>
            <w:r>
              <w:rPr>
                <w:rFonts w:hint="eastAsia"/>
                <w:color w:val="auto"/>
                <w:highlight w:val="none"/>
                <w:lang w:val="en-US" w:eastAsia="zh-CN"/>
              </w:rPr>
              <w:t>0.21</w:t>
            </w:r>
            <w:r>
              <w:rPr>
                <w:rFonts w:hint="eastAsia"/>
                <w:color w:val="auto"/>
                <w:highlight w:val="none"/>
              </w:rPr>
              <w:t>hm</w:t>
            </w:r>
            <w:r>
              <w:rPr>
                <w:rFonts w:hint="eastAsia"/>
                <w:color w:val="auto"/>
                <w:highlight w:val="none"/>
                <w:vertAlign w:val="superscript"/>
              </w:rPr>
              <w:t>2</w:t>
            </w:r>
            <w:r>
              <w:rPr>
                <w:rFonts w:hint="eastAsia"/>
                <w:color w:val="auto"/>
                <w:highlight w:val="none"/>
              </w:rPr>
              <w:t>，实际</w:t>
            </w:r>
            <w:r>
              <w:rPr>
                <w:rFonts w:hint="eastAsia"/>
                <w:color w:val="auto"/>
                <w:highlight w:val="none"/>
                <w:lang w:val="en-US" w:eastAsia="zh-CN"/>
              </w:rPr>
              <w:t>0.21</w:t>
            </w:r>
            <w:r>
              <w:rPr>
                <w:rFonts w:hint="eastAsia"/>
                <w:color w:val="auto"/>
                <w:highlight w:val="none"/>
              </w:rPr>
              <w:t>hm</w:t>
            </w:r>
            <w:r>
              <w:rPr>
                <w:rFonts w:hint="eastAsia"/>
                <w:color w:val="auto"/>
                <w:highlight w:val="none"/>
                <w:vertAlign w:val="superscript"/>
              </w:rPr>
              <w:t>2</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3</w:t>
            </w:r>
          </w:p>
        </w:tc>
        <w:tc>
          <w:tcPr>
            <w:tcW w:w="4299" w:type="dxa"/>
            <w:shd w:val="clear" w:color="auto" w:fill="auto"/>
            <w:vAlign w:val="center"/>
          </w:tcPr>
          <w:p>
            <w:pPr>
              <w:pStyle w:val="16"/>
              <w:rPr>
                <w:color w:val="auto"/>
                <w:highlight w:val="none"/>
              </w:rPr>
            </w:pPr>
            <w:r>
              <w:rPr>
                <w:color w:val="auto"/>
                <w:highlight w:val="none"/>
              </w:rPr>
              <w:t>水土保持重要单位工程措施体系发生变化，可能导致水土保持功能显著降低或丧失的</w:t>
            </w:r>
          </w:p>
        </w:tc>
        <w:tc>
          <w:tcPr>
            <w:tcW w:w="3017" w:type="dxa"/>
            <w:shd w:val="clear" w:color="auto" w:fill="auto"/>
            <w:vAlign w:val="center"/>
          </w:tcPr>
          <w:p>
            <w:pPr>
              <w:pStyle w:val="16"/>
              <w:rPr>
                <w:color w:val="auto"/>
                <w:highlight w:val="none"/>
              </w:rPr>
            </w:pPr>
            <w:r>
              <w:rPr>
                <w:rFonts w:hint="eastAsia"/>
                <w:color w:val="auto"/>
                <w:highlight w:val="none"/>
              </w:rPr>
              <w:t>经验收组现场核查情况，水土保持措施体系较为完善，不存在可能导致水土保持功能显著降低或丧失的变化</w:t>
            </w:r>
          </w:p>
        </w:tc>
        <w:tc>
          <w:tcPr>
            <w:tcW w:w="1300" w:type="dxa"/>
            <w:shd w:val="clear" w:color="auto" w:fill="auto"/>
            <w:vAlign w:val="center"/>
          </w:tcPr>
          <w:p>
            <w:pPr>
              <w:pStyle w:val="16"/>
              <w:rPr>
                <w:color w:val="auto"/>
                <w:highlight w:val="none"/>
              </w:rPr>
            </w:pPr>
            <w:r>
              <w:rPr>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70" w:type="dxa"/>
            <w:shd w:val="clear" w:color="auto" w:fill="auto"/>
            <w:vAlign w:val="center"/>
          </w:tcPr>
          <w:p>
            <w:pPr>
              <w:pStyle w:val="16"/>
              <w:rPr>
                <w:color w:val="auto"/>
                <w:highlight w:val="none"/>
              </w:rPr>
            </w:pPr>
            <w:r>
              <w:rPr>
                <w:color w:val="auto"/>
                <w:highlight w:val="none"/>
              </w:rPr>
              <w:t>（三）</w:t>
            </w:r>
          </w:p>
        </w:tc>
        <w:tc>
          <w:tcPr>
            <w:tcW w:w="4299" w:type="dxa"/>
            <w:shd w:val="clear" w:color="auto" w:fill="auto"/>
            <w:vAlign w:val="center"/>
          </w:tcPr>
          <w:p>
            <w:pPr>
              <w:pStyle w:val="16"/>
              <w:rPr>
                <w:color w:val="auto"/>
                <w:highlight w:val="none"/>
              </w:rPr>
            </w:pPr>
            <w:r>
              <w:rPr>
                <w:color w:val="auto"/>
                <w:highlight w:val="none"/>
              </w:rPr>
              <w:t>第五条：在水土保持方案确定的废弃砂、石、土、矸石、尾矿、废渣等专门存放地（以下简称“弃渣场”）外新设弃渣场的，或者需要提高弃渣场堆渣量达到20%以上的，生产建设单位应当编制水土保持方案（弃渣场补充）报告书，报水利部审批</w:t>
            </w:r>
          </w:p>
        </w:tc>
        <w:tc>
          <w:tcPr>
            <w:tcW w:w="3017" w:type="dxa"/>
            <w:shd w:val="clear" w:color="auto" w:fill="auto"/>
            <w:vAlign w:val="center"/>
          </w:tcPr>
          <w:p>
            <w:pPr>
              <w:pStyle w:val="16"/>
              <w:rPr>
                <w:color w:val="auto"/>
                <w:highlight w:val="none"/>
              </w:rPr>
            </w:pPr>
            <w:r>
              <w:rPr>
                <w:rFonts w:hint="eastAsia"/>
                <w:color w:val="auto"/>
                <w:highlight w:val="none"/>
                <w:lang w:val="en-US" w:eastAsia="zh-CN"/>
              </w:rPr>
              <w:t>本项目不涉及</w:t>
            </w:r>
          </w:p>
        </w:tc>
        <w:tc>
          <w:tcPr>
            <w:tcW w:w="1300" w:type="dxa"/>
            <w:shd w:val="clear" w:color="auto" w:fill="auto"/>
            <w:vAlign w:val="center"/>
          </w:tcPr>
          <w:p>
            <w:pPr>
              <w:pStyle w:val="16"/>
              <w:rPr>
                <w:color w:val="auto"/>
                <w:highlight w:val="none"/>
              </w:rPr>
            </w:pPr>
            <w:r>
              <w:rPr>
                <w:color w:val="auto"/>
                <w:highlight w:val="none"/>
              </w:rPr>
              <w:t>未达到</w:t>
            </w:r>
          </w:p>
        </w:tc>
      </w:tr>
    </w:tbl>
    <w:p>
      <w:pPr>
        <w:ind w:firstLine="480"/>
        <w:rPr>
          <w:color w:val="auto"/>
          <w:highlight w:val="none"/>
        </w:rPr>
      </w:pPr>
    </w:p>
    <w:tbl>
      <w:tblPr>
        <w:tblStyle w:val="11"/>
        <w:tblpPr w:leftFromText="180" w:rightFromText="180" w:vertAnchor="text" w:horzAnchor="margin" w:tblpY="58"/>
        <w:tblW w:w="9288"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35"/>
        <w:gridCol w:w="4377"/>
        <w:gridCol w:w="2746"/>
        <w:gridCol w:w="133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35" w:type="dxa"/>
            <w:shd w:val="clear" w:color="auto" w:fill="auto"/>
            <w:vAlign w:val="center"/>
          </w:tcPr>
          <w:p>
            <w:pPr>
              <w:pStyle w:val="16"/>
              <w:rPr>
                <w:rFonts w:cs="Times New Roman"/>
                <w:b/>
                <w:bCs/>
                <w:color w:val="auto"/>
                <w:highlight w:val="none"/>
              </w:rPr>
            </w:pPr>
            <w:r>
              <w:rPr>
                <w:rFonts w:cs="Times New Roman"/>
                <w:b/>
                <w:bCs/>
                <w:color w:val="auto"/>
                <w:highlight w:val="none"/>
              </w:rPr>
              <w:t>序号</w:t>
            </w:r>
          </w:p>
        </w:tc>
        <w:tc>
          <w:tcPr>
            <w:tcW w:w="4377" w:type="dxa"/>
            <w:shd w:val="clear" w:color="auto" w:fill="auto"/>
            <w:vAlign w:val="center"/>
          </w:tcPr>
          <w:p>
            <w:pPr>
              <w:pStyle w:val="16"/>
              <w:rPr>
                <w:rFonts w:cs="Times New Roman"/>
                <w:b/>
                <w:bCs/>
                <w:color w:val="auto"/>
                <w:highlight w:val="none"/>
              </w:rPr>
            </w:pPr>
            <w:r>
              <w:rPr>
                <w:rFonts w:cs="Times New Roman"/>
                <w:b/>
                <w:bCs/>
                <w:color w:val="auto"/>
                <w:highlight w:val="none"/>
              </w:rPr>
              <w:t>关于印发四川省生产建设项目水土保持措施变更管理办法（试行）的通知》（川水函〔2015〕1561号文）</w:t>
            </w:r>
          </w:p>
        </w:tc>
        <w:tc>
          <w:tcPr>
            <w:tcW w:w="2746" w:type="dxa"/>
            <w:shd w:val="clear" w:color="auto" w:fill="auto"/>
            <w:vAlign w:val="center"/>
          </w:tcPr>
          <w:p>
            <w:pPr>
              <w:pStyle w:val="16"/>
              <w:rPr>
                <w:rFonts w:cs="Times New Roman"/>
                <w:b/>
                <w:bCs/>
                <w:color w:val="auto"/>
                <w:highlight w:val="none"/>
              </w:rPr>
            </w:pPr>
            <w:r>
              <w:rPr>
                <w:rFonts w:cs="Times New Roman"/>
                <w:b/>
                <w:bCs/>
                <w:color w:val="auto"/>
                <w:highlight w:val="none"/>
              </w:rPr>
              <w:t>项目实际情况</w:t>
            </w:r>
          </w:p>
        </w:tc>
        <w:tc>
          <w:tcPr>
            <w:tcW w:w="1330" w:type="dxa"/>
            <w:shd w:val="clear" w:color="auto" w:fill="auto"/>
            <w:vAlign w:val="center"/>
          </w:tcPr>
          <w:p>
            <w:pPr>
              <w:pStyle w:val="16"/>
              <w:rPr>
                <w:rFonts w:cs="Times New Roman"/>
                <w:b/>
                <w:bCs/>
                <w:color w:val="auto"/>
                <w:highlight w:val="none"/>
              </w:rPr>
            </w:pPr>
            <w:r>
              <w:rPr>
                <w:rFonts w:cs="Times New Roman"/>
                <w:b/>
                <w:bCs/>
                <w:color w:val="auto"/>
                <w:highlight w:val="none"/>
              </w:rPr>
              <w:t>变化是否达到变更报批条件</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35" w:type="dxa"/>
            <w:shd w:val="clear" w:color="auto" w:fill="auto"/>
            <w:vAlign w:val="center"/>
          </w:tcPr>
          <w:p>
            <w:pPr>
              <w:pStyle w:val="16"/>
              <w:rPr>
                <w:rFonts w:cs="Times New Roman"/>
                <w:color w:val="auto"/>
                <w:highlight w:val="none"/>
              </w:rPr>
            </w:pPr>
            <w:r>
              <w:rPr>
                <w:rFonts w:cs="Times New Roman"/>
                <w:color w:val="auto"/>
                <w:highlight w:val="none"/>
              </w:rPr>
              <w:t>（一）</w:t>
            </w:r>
          </w:p>
        </w:tc>
        <w:tc>
          <w:tcPr>
            <w:tcW w:w="4377" w:type="dxa"/>
            <w:shd w:val="clear" w:color="auto" w:fill="auto"/>
            <w:vAlign w:val="center"/>
          </w:tcPr>
          <w:p>
            <w:pPr>
              <w:pStyle w:val="16"/>
              <w:rPr>
                <w:rFonts w:cs="Times New Roman"/>
                <w:color w:val="auto"/>
                <w:highlight w:val="none"/>
              </w:rPr>
            </w:pPr>
            <w:r>
              <w:rPr>
                <w:rFonts w:cs="Times New Roman"/>
                <w:color w:val="auto"/>
                <w:highlight w:val="none"/>
              </w:rPr>
              <w:t>弃渣量10万m</w:t>
            </w:r>
            <w:r>
              <w:rPr>
                <w:rFonts w:cs="Times New Roman"/>
                <w:color w:val="auto"/>
                <w:highlight w:val="none"/>
                <w:vertAlign w:val="superscript"/>
              </w:rPr>
              <w:t>3</w:t>
            </w:r>
            <w:r>
              <w:rPr>
                <w:rFonts w:cs="Times New Roman"/>
                <w:color w:val="auto"/>
                <w:highlight w:val="none"/>
              </w:rPr>
              <w:t>（含）以上的弃渣场位置变化的；弃渣量10万m</w:t>
            </w:r>
            <w:r>
              <w:rPr>
                <w:rFonts w:cs="Times New Roman"/>
                <w:color w:val="auto"/>
                <w:highlight w:val="none"/>
                <w:vertAlign w:val="superscript"/>
              </w:rPr>
              <w:t>3</w:t>
            </w:r>
            <w:r>
              <w:rPr>
                <w:rFonts w:cs="Times New Roman"/>
                <w:color w:val="auto"/>
                <w:highlight w:val="none"/>
              </w:rPr>
              <w:t>（含）以上的弃渣场弃渣增加50%（含）以上的；弃渣场数量增加超过20%</w:t>
            </w:r>
          </w:p>
        </w:tc>
        <w:tc>
          <w:tcPr>
            <w:tcW w:w="2746" w:type="dxa"/>
            <w:shd w:val="clear" w:color="auto" w:fill="auto"/>
            <w:vAlign w:val="center"/>
          </w:tcPr>
          <w:p>
            <w:pPr>
              <w:pStyle w:val="16"/>
              <w:rPr>
                <w:rFonts w:cs="Times New Roman"/>
                <w:color w:val="auto"/>
                <w:highlight w:val="none"/>
              </w:rPr>
            </w:pPr>
            <w:r>
              <w:rPr>
                <w:rFonts w:hint="eastAsia"/>
                <w:color w:val="auto"/>
                <w:highlight w:val="none"/>
                <w:lang w:val="en-US" w:eastAsia="zh-CN"/>
              </w:rPr>
              <w:t>本项目不涉及</w:t>
            </w:r>
          </w:p>
        </w:tc>
        <w:tc>
          <w:tcPr>
            <w:tcW w:w="1330" w:type="dxa"/>
            <w:shd w:val="clear" w:color="auto" w:fill="auto"/>
            <w:vAlign w:val="center"/>
          </w:tcPr>
          <w:p>
            <w:pPr>
              <w:pStyle w:val="16"/>
              <w:rPr>
                <w:rFonts w:cs="Times New Roman"/>
                <w:color w:val="auto"/>
                <w:highlight w:val="none"/>
              </w:rPr>
            </w:pPr>
            <w:r>
              <w:rPr>
                <w:rFonts w:cs="Times New Roman"/>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35" w:type="dxa"/>
            <w:shd w:val="clear" w:color="auto" w:fill="auto"/>
            <w:vAlign w:val="center"/>
          </w:tcPr>
          <w:p>
            <w:pPr>
              <w:pStyle w:val="16"/>
              <w:rPr>
                <w:rFonts w:cs="Times New Roman"/>
                <w:color w:val="auto"/>
                <w:highlight w:val="none"/>
              </w:rPr>
            </w:pPr>
            <w:r>
              <w:rPr>
                <w:rFonts w:cs="Times New Roman"/>
                <w:color w:val="auto"/>
                <w:highlight w:val="none"/>
              </w:rPr>
              <w:t>（二）</w:t>
            </w:r>
          </w:p>
        </w:tc>
        <w:tc>
          <w:tcPr>
            <w:tcW w:w="4377" w:type="dxa"/>
            <w:shd w:val="clear" w:color="auto" w:fill="auto"/>
            <w:vAlign w:val="center"/>
          </w:tcPr>
          <w:p>
            <w:pPr>
              <w:pStyle w:val="16"/>
              <w:rPr>
                <w:rFonts w:cs="Times New Roman"/>
                <w:color w:val="auto"/>
                <w:highlight w:val="none"/>
              </w:rPr>
            </w:pPr>
            <w:r>
              <w:rPr>
                <w:rFonts w:cs="Times New Roman"/>
                <w:color w:val="auto"/>
                <w:highlight w:val="none"/>
              </w:rPr>
              <w:t>取土（料）量在5万m</w:t>
            </w:r>
            <w:r>
              <w:rPr>
                <w:rFonts w:cs="Times New Roman"/>
                <w:color w:val="auto"/>
                <w:highlight w:val="none"/>
                <w:vertAlign w:val="superscript"/>
              </w:rPr>
              <w:t>3</w:t>
            </w:r>
            <w:r>
              <w:rPr>
                <w:rFonts w:cs="Times New Roman"/>
                <w:color w:val="auto"/>
                <w:highlight w:val="none"/>
              </w:rPr>
              <w:t>（含）以上的取土（料）场位置发生变更的</w:t>
            </w:r>
          </w:p>
        </w:tc>
        <w:tc>
          <w:tcPr>
            <w:tcW w:w="2746" w:type="dxa"/>
            <w:shd w:val="clear" w:color="auto" w:fill="auto"/>
            <w:vAlign w:val="center"/>
          </w:tcPr>
          <w:p>
            <w:pPr>
              <w:pStyle w:val="16"/>
              <w:rPr>
                <w:rFonts w:cs="Times New Roman"/>
                <w:color w:val="auto"/>
                <w:highlight w:val="none"/>
              </w:rPr>
            </w:pPr>
            <w:r>
              <w:rPr>
                <w:rFonts w:cs="Times New Roman"/>
                <w:color w:val="auto"/>
                <w:highlight w:val="none"/>
              </w:rPr>
              <w:t>本工程不涉及料场</w:t>
            </w:r>
          </w:p>
        </w:tc>
        <w:tc>
          <w:tcPr>
            <w:tcW w:w="1330" w:type="dxa"/>
            <w:shd w:val="clear" w:color="auto" w:fill="auto"/>
            <w:vAlign w:val="center"/>
          </w:tcPr>
          <w:p>
            <w:pPr>
              <w:pStyle w:val="16"/>
              <w:rPr>
                <w:rFonts w:cs="Times New Roman"/>
                <w:color w:val="auto"/>
                <w:highlight w:val="none"/>
              </w:rPr>
            </w:pPr>
            <w:r>
              <w:rPr>
                <w:rFonts w:hint="eastAsia" w:cs="Times New Roman"/>
                <w:color w:val="auto"/>
                <w:highlight w:val="none"/>
              </w:rPr>
              <w:t>不涉及</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35" w:type="dxa"/>
            <w:shd w:val="clear" w:color="auto" w:fill="auto"/>
            <w:vAlign w:val="center"/>
          </w:tcPr>
          <w:p>
            <w:pPr>
              <w:pStyle w:val="16"/>
              <w:rPr>
                <w:rFonts w:cs="Times New Roman"/>
                <w:color w:val="auto"/>
                <w:highlight w:val="none"/>
              </w:rPr>
            </w:pPr>
            <w:r>
              <w:rPr>
                <w:rFonts w:cs="Times New Roman"/>
                <w:color w:val="auto"/>
                <w:highlight w:val="none"/>
              </w:rPr>
              <w:t>（三）</w:t>
            </w:r>
          </w:p>
        </w:tc>
        <w:tc>
          <w:tcPr>
            <w:tcW w:w="4377" w:type="dxa"/>
            <w:shd w:val="clear" w:color="auto" w:fill="auto"/>
            <w:vAlign w:val="center"/>
          </w:tcPr>
          <w:p>
            <w:pPr>
              <w:pStyle w:val="16"/>
              <w:rPr>
                <w:rFonts w:cs="Times New Roman"/>
                <w:color w:val="auto"/>
                <w:highlight w:val="none"/>
              </w:rPr>
            </w:pPr>
            <w:r>
              <w:rPr>
                <w:rFonts w:cs="Times New Roman"/>
                <w:color w:val="auto"/>
                <w:highlight w:val="none"/>
              </w:rPr>
              <w:t>挡防、排水等主要工程措施减少量30%以上的</w:t>
            </w:r>
          </w:p>
        </w:tc>
        <w:tc>
          <w:tcPr>
            <w:tcW w:w="2746" w:type="dxa"/>
            <w:shd w:val="clear" w:color="auto" w:fill="auto"/>
            <w:vAlign w:val="center"/>
          </w:tcPr>
          <w:p>
            <w:pPr>
              <w:pStyle w:val="16"/>
              <w:rPr>
                <w:rFonts w:cs="Times New Roman"/>
                <w:color w:val="auto"/>
                <w:highlight w:val="none"/>
              </w:rPr>
            </w:pPr>
            <w:r>
              <w:rPr>
                <w:rFonts w:cs="Times New Roman"/>
                <w:color w:val="auto"/>
                <w:highlight w:val="none"/>
              </w:rPr>
              <w:t>本工程排水等主要工程措施</w:t>
            </w:r>
            <w:r>
              <w:rPr>
                <w:rFonts w:hint="eastAsia" w:cs="Times New Roman"/>
                <w:color w:val="auto"/>
                <w:highlight w:val="none"/>
              </w:rPr>
              <w:t>增加</w:t>
            </w:r>
          </w:p>
        </w:tc>
        <w:tc>
          <w:tcPr>
            <w:tcW w:w="1330" w:type="dxa"/>
            <w:shd w:val="clear" w:color="auto" w:fill="auto"/>
            <w:vAlign w:val="center"/>
          </w:tcPr>
          <w:p>
            <w:pPr>
              <w:pStyle w:val="16"/>
              <w:rPr>
                <w:rFonts w:cs="Times New Roman"/>
                <w:color w:val="auto"/>
                <w:highlight w:val="none"/>
              </w:rPr>
            </w:pPr>
            <w:r>
              <w:rPr>
                <w:rFonts w:cs="Times New Roman"/>
                <w:color w:val="auto"/>
                <w:highlight w:val="none"/>
              </w:rPr>
              <w:t>未达到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35" w:type="dxa"/>
            <w:shd w:val="clear" w:color="auto" w:fill="auto"/>
            <w:vAlign w:val="center"/>
          </w:tcPr>
          <w:p>
            <w:pPr>
              <w:pStyle w:val="16"/>
              <w:rPr>
                <w:rFonts w:cs="Times New Roman"/>
                <w:color w:val="auto"/>
                <w:highlight w:val="none"/>
              </w:rPr>
            </w:pPr>
            <w:r>
              <w:rPr>
                <w:rFonts w:cs="Times New Roman"/>
                <w:color w:val="auto"/>
                <w:highlight w:val="none"/>
              </w:rPr>
              <w:t>（四）</w:t>
            </w:r>
          </w:p>
        </w:tc>
        <w:tc>
          <w:tcPr>
            <w:tcW w:w="4377" w:type="dxa"/>
            <w:shd w:val="clear" w:color="auto" w:fill="auto"/>
            <w:vAlign w:val="center"/>
          </w:tcPr>
          <w:p>
            <w:pPr>
              <w:pStyle w:val="16"/>
              <w:rPr>
                <w:rFonts w:cs="Times New Roman"/>
                <w:color w:val="auto"/>
                <w:highlight w:val="none"/>
              </w:rPr>
            </w:pPr>
            <w:r>
              <w:rPr>
                <w:rFonts w:cs="Times New Roman"/>
                <w:color w:val="auto"/>
                <w:highlight w:val="none"/>
              </w:rPr>
              <w:t>原批复植物措施面积10公顷（含）以上的，且总面积减少超过30%（含）的</w:t>
            </w:r>
          </w:p>
        </w:tc>
        <w:tc>
          <w:tcPr>
            <w:tcW w:w="2746" w:type="dxa"/>
            <w:shd w:val="clear" w:color="auto" w:fill="auto"/>
            <w:vAlign w:val="center"/>
          </w:tcPr>
          <w:p>
            <w:pPr>
              <w:pStyle w:val="16"/>
              <w:rPr>
                <w:rFonts w:cs="Times New Roman"/>
                <w:color w:val="auto"/>
                <w:highlight w:val="none"/>
              </w:rPr>
            </w:pPr>
            <w:r>
              <w:rPr>
                <w:rFonts w:cs="Times New Roman"/>
                <w:color w:val="auto"/>
                <w:highlight w:val="none"/>
              </w:rPr>
              <w:t>措施面积减少未达到30%以上</w:t>
            </w:r>
          </w:p>
        </w:tc>
        <w:tc>
          <w:tcPr>
            <w:tcW w:w="1330" w:type="dxa"/>
            <w:shd w:val="clear" w:color="auto" w:fill="auto"/>
            <w:vAlign w:val="center"/>
          </w:tcPr>
          <w:p>
            <w:pPr>
              <w:pStyle w:val="16"/>
              <w:rPr>
                <w:rFonts w:cs="Times New Roman"/>
                <w:color w:val="auto"/>
                <w:highlight w:val="none"/>
              </w:rPr>
            </w:pPr>
            <w:r>
              <w:rPr>
                <w:rFonts w:cs="Times New Roman"/>
                <w:color w:val="auto"/>
                <w:highlight w:val="none"/>
              </w:rPr>
              <w:t>未达到</w:t>
            </w:r>
          </w:p>
        </w:tc>
      </w:tr>
    </w:tbl>
    <w:p>
      <w:pPr>
        <w:pStyle w:val="4"/>
        <w:rPr>
          <w:rFonts w:cs="Times New Roman"/>
          <w:color w:val="auto"/>
          <w:highlight w:val="none"/>
        </w:rPr>
      </w:pPr>
      <w:r>
        <w:rPr>
          <w:rFonts w:cs="Times New Roman"/>
          <w:color w:val="auto"/>
          <w:highlight w:val="none"/>
        </w:rPr>
        <w:t>水土保持措施变化情况</w:t>
      </w:r>
    </w:p>
    <w:p>
      <w:pPr>
        <w:ind w:firstLine="480"/>
        <w:rPr>
          <w:rFonts w:cs="Times New Roman"/>
          <w:color w:val="auto"/>
          <w:highlight w:val="none"/>
        </w:rPr>
      </w:pPr>
      <w:r>
        <w:rPr>
          <w:rFonts w:cs="Times New Roman"/>
          <w:color w:val="auto"/>
          <w:highlight w:val="none"/>
        </w:rPr>
        <w:t>建设单位在施工过程中高度重视水土保持工作，</w:t>
      </w:r>
      <w:r>
        <w:rPr>
          <w:rFonts w:hint="eastAsia" w:cs="Times New Roman"/>
          <w:color w:val="auto"/>
          <w:highlight w:val="none"/>
        </w:rPr>
        <w:t>严格</w:t>
      </w:r>
      <w:r>
        <w:rPr>
          <w:rFonts w:cs="Times New Roman"/>
          <w:color w:val="auto"/>
          <w:highlight w:val="none"/>
        </w:rPr>
        <w:t>按方案设计要求，</w:t>
      </w:r>
      <w:r>
        <w:rPr>
          <w:rFonts w:hint="eastAsia" w:cs="Times New Roman"/>
          <w:color w:val="auto"/>
          <w:highlight w:val="none"/>
        </w:rPr>
        <w:t>对</w:t>
      </w:r>
      <w:r>
        <w:rPr>
          <w:rFonts w:cs="Times New Roman"/>
          <w:color w:val="auto"/>
          <w:highlight w:val="none"/>
        </w:rPr>
        <w:t>方案设计水土流失防治措施体系框架的原则下对实施的工程措施、植物措施等措施</w:t>
      </w:r>
      <w:r>
        <w:rPr>
          <w:rFonts w:hint="eastAsia" w:cs="Times New Roman"/>
          <w:color w:val="auto"/>
          <w:highlight w:val="none"/>
        </w:rPr>
        <w:t>不进行</w:t>
      </w:r>
      <w:r>
        <w:rPr>
          <w:rFonts w:cs="Times New Roman"/>
          <w:color w:val="auto"/>
          <w:highlight w:val="none"/>
        </w:rPr>
        <w:t>调整，且达到了方案设计的水土流失防治要求及目标，项目无水土保持设计变更。</w:t>
      </w:r>
    </w:p>
    <w:p>
      <w:pPr>
        <w:pStyle w:val="3"/>
        <w:rPr>
          <w:rFonts w:cs="Times New Roman"/>
          <w:color w:val="auto"/>
          <w:highlight w:val="none"/>
        </w:rPr>
      </w:pPr>
      <w:bookmarkStart w:id="9" w:name="_Toc15746"/>
      <w:r>
        <w:rPr>
          <w:rFonts w:hint="eastAsia" w:cs="Times New Roman"/>
          <w:color w:val="auto"/>
          <w:highlight w:val="none"/>
        </w:rPr>
        <w:t>水土保持方案设计情况</w:t>
      </w:r>
      <w:bookmarkEnd w:id="9"/>
    </w:p>
    <w:p>
      <w:pPr>
        <w:pStyle w:val="4"/>
        <w:rPr>
          <w:color w:val="auto"/>
          <w:highlight w:val="none"/>
        </w:rPr>
      </w:pPr>
      <w:bookmarkStart w:id="10" w:name="_Toc19184"/>
      <w:r>
        <w:rPr>
          <w:rFonts w:hint="eastAsia"/>
          <w:color w:val="auto"/>
          <w:highlight w:val="none"/>
          <w:lang w:eastAsia="zh-CN"/>
        </w:rPr>
        <w:t>建构筑物防治</w:t>
      </w:r>
      <w:r>
        <w:rPr>
          <w:rFonts w:hint="eastAsia"/>
          <w:color w:val="auto"/>
          <w:highlight w:val="none"/>
        </w:rPr>
        <w:t>区</w:t>
      </w:r>
      <w:bookmarkEnd w:id="10"/>
    </w:p>
    <w:p>
      <w:pPr>
        <w:ind w:firstLine="480"/>
        <w:rPr>
          <w:rFonts w:hint="eastAsia"/>
          <w:color w:val="auto"/>
          <w:highlight w:val="none"/>
        </w:rPr>
      </w:pPr>
      <w:r>
        <w:rPr>
          <w:rFonts w:hint="eastAsia"/>
          <w:color w:val="auto"/>
          <w:highlight w:val="none"/>
        </w:rPr>
        <w:t>根据批复水土保持方案，</w:t>
      </w:r>
      <w:r>
        <w:rPr>
          <w:rFonts w:hint="eastAsia"/>
          <w:color w:val="auto"/>
          <w:highlight w:val="none"/>
          <w:lang w:val="en-US" w:eastAsia="zh-CN"/>
        </w:rPr>
        <w:t>本项目</w:t>
      </w:r>
      <w:r>
        <w:rPr>
          <w:rFonts w:hint="eastAsia"/>
          <w:color w:val="auto"/>
          <w:highlight w:val="none"/>
        </w:rPr>
        <w:t>建构筑物防治区总占地面积2.77hm</w:t>
      </w:r>
      <w:r>
        <w:rPr>
          <w:rFonts w:hint="eastAsia"/>
          <w:color w:val="auto"/>
          <w:highlight w:val="none"/>
          <w:vertAlign w:val="superscript"/>
        </w:rPr>
        <w:t>2</w:t>
      </w:r>
      <w:r>
        <w:rPr>
          <w:rFonts w:hint="eastAsia"/>
          <w:color w:val="auto"/>
          <w:highlight w:val="none"/>
        </w:rPr>
        <w:t>，水保方案采取管理措施与水土保持措施进行综合防治。</w:t>
      </w:r>
    </w:p>
    <w:p>
      <w:pPr>
        <w:numPr>
          <w:ilvl w:val="0"/>
          <w:numId w:val="6"/>
        </w:numPr>
        <w:ind w:firstLine="480"/>
        <w:rPr>
          <w:rFonts w:hint="eastAsia"/>
          <w:color w:val="auto"/>
          <w:highlight w:val="none"/>
          <w:lang w:val="en-US" w:eastAsia="zh-CN"/>
        </w:rPr>
      </w:pPr>
      <w:r>
        <w:rPr>
          <w:rFonts w:hint="eastAsia"/>
          <w:color w:val="auto"/>
          <w:highlight w:val="none"/>
          <w:lang w:val="en-US" w:eastAsia="zh-CN"/>
        </w:rPr>
        <w:t>工程措施</w:t>
      </w:r>
    </w:p>
    <w:p>
      <w:pPr>
        <w:bidi w:val="0"/>
        <w:rPr>
          <w:rFonts w:hint="eastAsia"/>
          <w:color w:val="auto"/>
          <w:highlight w:val="none"/>
          <w:lang w:val="en-US" w:eastAsia="zh-CN"/>
        </w:rPr>
      </w:pPr>
      <w:r>
        <w:rPr>
          <w:rFonts w:hint="eastAsia"/>
          <w:color w:val="auto"/>
          <w:highlight w:val="none"/>
          <w:lang w:val="en-US" w:eastAsia="zh-CN"/>
        </w:rPr>
        <w:t>该分区实施的工程措施措施主要有表土剥离。</w:t>
      </w:r>
    </w:p>
    <w:p>
      <w:pPr>
        <w:numPr>
          <w:ilvl w:val="0"/>
          <w:numId w:val="6"/>
        </w:numPr>
        <w:ind w:firstLine="480"/>
        <w:rPr>
          <w:rFonts w:hint="default"/>
          <w:color w:val="auto"/>
          <w:highlight w:val="none"/>
          <w:lang w:val="en-US" w:eastAsia="zh-CN"/>
        </w:rPr>
      </w:pPr>
      <w:r>
        <w:rPr>
          <w:rFonts w:hint="eastAsia"/>
          <w:color w:val="auto"/>
          <w:highlight w:val="none"/>
          <w:lang w:val="en-US" w:eastAsia="zh-CN"/>
        </w:rPr>
        <w:t>临时措施</w:t>
      </w:r>
    </w:p>
    <w:p>
      <w:pPr>
        <w:bidi w:val="0"/>
        <w:rPr>
          <w:rFonts w:hint="default"/>
          <w:color w:val="auto"/>
          <w:highlight w:val="none"/>
          <w:lang w:val="en-US" w:eastAsia="zh-CN"/>
        </w:rPr>
      </w:pPr>
      <w:r>
        <w:rPr>
          <w:rFonts w:hint="eastAsia"/>
          <w:color w:val="auto"/>
          <w:highlight w:val="none"/>
          <w:lang w:val="en-US" w:eastAsia="zh-CN"/>
        </w:rPr>
        <w:t>该分区实施的临时措施措施主要有密目网遮盖和临时排水沟。</w:t>
      </w:r>
    </w:p>
    <w:p>
      <w:pPr>
        <w:ind w:firstLine="480"/>
        <w:rPr>
          <w:color w:val="auto"/>
          <w:highlight w:val="none"/>
        </w:rPr>
      </w:pPr>
      <w:r>
        <w:rPr>
          <w:rFonts w:hint="eastAsia"/>
          <w:color w:val="auto"/>
          <w:highlight w:val="none"/>
        </w:rPr>
        <w:t>相关措施的工程数量见表2.4-1。</w:t>
      </w:r>
    </w:p>
    <w:p>
      <w:pPr>
        <w:pStyle w:val="15"/>
        <w:rPr>
          <w:color w:val="auto"/>
          <w:highlight w:val="none"/>
        </w:rPr>
      </w:pPr>
      <w:r>
        <w:rPr>
          <w:rFonts w:hint="eastAsia"/>
          <w:color w:val="auto"/>
          <w:highlight w:val="none"/>
        </w:rPr>
        <w:t>表 2.4-1</w:t>
      </w:r>
      <w:r>
        <w:rPr>
          <w:rFonts w:hint="eastAsia"/>
          <w:color w:val="auto"/>
          <w:highlight w:val="none"/>
        </w:rPr>
        <w:tab/>
      </w:r>
      <w:r>
        <w:rPr>
          <w:rFonts w:hint="eastAsia"/>
          <w:color w:val="auto"/>
          <w:highlight w:val="none"/>
          <w:lang w:val="en-US" w:eastAsia="zh-CN"/>
        </w:rPr>
        <w:t>建构筑物区水土保持措施</w:t>
      </w:r>
      <w:r>
        <w:rPr>
          <w:rFonts w:hint="eastAsia"/>
          <w:color w:val="auto"/>
          <w:highlight w:val="none"/>
        </w:rPr>
        <w:t>一览表</w:t>
      </w:r>
    </w:p>
    <w:tbl>
      <w:tblPr>
        <w:tblStyle w:val="11"/>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254"/>
        <w:gridCol w:w="1962"/>
        <w:gridCol w:w="2496"/>
        <w:gridCol w:w="1187"/>
        <w:gridCol w:w="119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jc w:val="center"/>
        </w:trPr>
        <w:tc>
          <w:tcPr>
            <w:tcW w:w="1238" w:type="pct"/>
            <w:tcBorders>
              <w:tl2br w:val="nil"/>
              <w:tr2bl w:val="nil"/>
            </w:tcBorders>
            <w:shd w:val="clear" w:color="auto" w:fill="auto"/>
            <w:noWrap/>
            <w:tcMar>
              <w:top w:w="15" w:type="dxa"/>
              <w:left w:w="15" w:type="dxa"/>
              <w:right w:w="15" w:type="dxa"/>
            </w:tcMar>
            <w:vAlign w:val="center"/>
          </w:tcPr>
          <w:p>
            <w:pPr>
              <w:pStyle w:val="16"/>
              <w:bidi w:val="0"/>
              <w:jc w:val="center"/>
              <w:rPr>
                <w:color w:val="auto"/>
                <w:highlight w:val="none"/>
              </w:rPr>
            </w:pPr>
            <w:r>
              <w:rPr>
                <w:rFonts w:hint="eastAsia"/>
                <w:color w:val="auto"/>
                <w:highlight w:val="none"/>
                <w:lang w:val="en-US" w:eastAsia="zh-CN"/>
              </w:rPr>
              <w:t>防治分区</w:t>
            </w:r>
          </w:p>
        </w:tc>
        <w:tc>
          <w:tcPr>
            <w:tcW w:w="107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措施类型</w:t>
            </w:r>
          </w:p>
        </w:tc>
        <w:tc>
          <w:tcPr>
            <w:tcW w:w="137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措施名称</w:t>
            </w:r>
          </w:p>
        </w:tc>
        <w:tc>
          <w:tcPr>
            <w:tcW w:w="6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单位</w:t>
            </w:r>
          </w:p>
        </w:tc>
        <w:tc>
          <w:tcPr>
            <w:tcW w:w="6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0" w:hRule="atLeast"/>
          <w:jc w:val="center"/>
        </w:trPr>
        <w:tc>
          <w:tcPr>
            <w:tcW w:w="1238"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color w:val="auto"/>
                <w:highlight w:val="none"/>
              </w:rPr>
            </w:pPr>
            <w:r>
              <w:rPr>
                <w:rFonts w:hint="eastAsia"/>
                <w:color w:val="auto"/>
                <w:highlight w:val="none"/>
                <w:lang w:val="en-US" w:eastAsia="zh-CN"/>
              </w:rPr>
              <w:t>建构筑物防治区</w:t>
            </w:r>
          </w:p>
        </w:tc>
        <w:tc>
          <w:tcPr>
            <w:tcW w:w="107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工程措施</w:t>
            </w:r>
          </w:p>
        </w:tc>
        <w:tc>
          <w:tcPr>
            <w:tcW w:w="137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表土剥离</w:t>
            </w:r>
          </w:p>
        </w:tc>
        <w:tc>
          <w:tcPr>
            <w:tcW w:w="6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6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900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238"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1078"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临时措施</w:t>
            </w:r>
          </w:p>
        </w:tc>
        <w:tc>
          <w:tcPr>
            <w:tcW w:w="137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密目网遮盖及拆除</w:t>
            </w:r>
          </w:p>
        </w:tc>
        <w:tc>
          <w:tcPr>
            <w:tcW w:w="6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2</w:t>
            </w:r>
          </w:p>
        </w:tc>
        <w:tc>
          <w:tcPr>
            <w:tcW w:w="6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10000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jc w:val="center"/>
        </w:trPr>
        <w:tc>
          <w:tcPr>
            <w:tcW w:w="1238"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1078"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137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排水沟开挖</w:t>
            </w:r>
          </w:p>
        </w:tc>
        <w:tc>
          <w:tcPr>
            <w:tcW w:w="6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6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144</w:t>
            </w:r>
          </w:p>
        </w:tc>
      </w:tr>
    </w:tbl>
    <w:p>
      <w:pPr>
        <w:pStyle w:val="4"/>
        <w:rPr>
          <w:color w:val="auto"/>
          <w:highlight w:val="none"/>
        </w:rPr>
      </w:pPr>
      <w:r>
        <w:rPr>
          <w:rFonts w:hint="eastAsia"/>
          <w:color w:val="auto"/>
          <w:highlight w:val="none"/>
          <w:lang w:eastAsia="zh-CN"/>
        </w:rPr>
        <w:t>道路及硬化工程防治区</w:t>
      </w:r>
    </w:p>
    <w:p>
      <w:pPr>
        <w:ind w:firstLine="480"/>
        <w:rPr>
          <w:color w:val="auto"/>
          <w:highlight w:val="none"/>
        </w:rPr>
      </w:pPr>
      <w:r>
        <w:rPr>
          <w:rFonts w:hint="eastAsia"/>
          <w:color w:val="auto"/>
          <w:highlight w:val="none"/>
        </w:rPr>
        <w:t>根据批复水土保持方案，</w:t>
      </w:r>
      <w:r>
        <w:rPr>
          <w:rFonts w:hint="eastAsia"/>
          <w:color w:val="auto"/>
          <w:highlight w:val="none"/>
          <w:lang w:val="en-US" w:eastAsia="zh-CN"/>
        </w:rPr>
        <w:t>本项目</w:t>
      </w:r>
      <w:r>
        <w:rPr>
          <w:rFonts w:hint="eastAsia"/>
          <w:color w:val="auto"/>
          <w:highlight w:val="none"/>
        </w:rPr>
        <w:t>道路及硬化工程防治区总占地面积1.47hm</w:t>
      </w:r>
      <w:r>
        <w:rPr>
          <w:rFonts w:hint="eastAsia"/>
          <w:color w:val="auto"/>
          <w:highlight w:val="none"/>
          <w:vertAlign w:val="superscript"/>
        </w:rPr>
        <w:t>2</w:t>
      </w:r>
      <w:r>
        <w:rPr>
          <w:rFonts w:hint="eastAsia"/>
          <w:color w:val="auto"/>
          <w:highlight w:val="none"/>
        </w:rPr>
        <w:t>，水保方案采取管理措施与水土保持措施进行综合防治。</w:t>
      </w:r>
    </w:p>
    <w:p>
      <w:pPr>
        <w:numPr>
          <w:ilvl w:val="0"/>
          <w:numId w:val="7"/>
        </w:numPr>
        <w:ind w:firstLine="480"/>
        <w:rPr>
          <w:color w:val="auto"/>
          <w:highlight w:val="none"/>
        </w:rPr>
      </w:pPr>
      <w:r>
        <w:rPr>
          <w:rFonts w:hint="eastAsia"/>
          <w:color w:val="auto"/>
          <w:highlight w:val="none"/>
        </w:rPr>
        <w:t>工程措施</w:t>
      </w:r>
    </w:p>
    <w:p>
      <w:pPr>
        <w:ind w:firstLine="480"/>
        <w:rPr>
          <w:rFonts w:hint="eastAsia"/>
          <w:color w:val="auto"/>
          <w:highlight w:val="none"/>
        </w:rPr>
      </w:pPr>
      <w:r>
        <w:rPr>
          <w:rFonts w:hint="eastAsia"/>
          <w:color w:val="auto"/>
          <w:highlight w:val="none"/>
          <w:lang w:eastAsia="zh-CN"/>
        </w:rPr>
        <w:t>道路及硬化工程防治区</w:t>
      </w:r>
      <w:r>
        <w:rPr>
          <w:rFonts w:hint="eastAsia"/>
          <w:color w:val="auto"/>
          <w:highlight w:val="none"/>
        </w:rPr>
        <w:t>实施的工程措施措施主要有表土回铺、</w:t>
      </w:r>
      <w:r>
        <w:rPr>
          <w:rFonts w:hint="eastAsia"/>
          <w:color w:val="auto"/>
          <w:highlight w:val="none"/>
          <w:lang w:val="en-US" w:eastAsia="zh-CN"/>
        </w:rPr>
        <w:t>洗车槽、排水沟</w:t>
      </w:r>
      <w:r>
        <w:rPr>
          <w:rFonts w:hint="eastAsia"/>
          <w:color w:val="auto"/>
          <w:highlight w:val="none"/>
        </w:rPr>
        <w:t>。</w:t>
      </w:r>
    </w:p>
    <w:p>
      <w:pPr>
        <w:numPr>
          <w:ilvl w:val="0"/>
          <w:numId w:val="7"/>
        </w:numPr>
        <w:ind w:firstLine="480"/>
        <w:rPr>
          <w:color w:val="auto"/>
          <w:highlight w:val="none"/>
        </w:rPr>
      </w:pPr>
      <w:r>
        <w:rPr>
          <w:rFonts w:hint="eastAsia"/>
          <w:color w:val="auto"/>
          <w:highlight w:val="none"/>
          <w:lang w:val="en-US" w:eastAsia="zh-CN"/>
        </w:rPr>
        <w:t>植物</w:t>
      </w:r>
      <w:r>
        <w:rPr>
          <w:rFonts w:hint="eastAsia"/>
          <w:color w:val="auto"/>
          <w:highlight w:val="none"/>
        </w:rPr>
        <w:t>措施</w:t>
      </w:r>
    </w:p>
    <w:p>
      <w:pPr>
        <w:ind w:firstLine="480"/>
        <w:rPr>
          <w:color w:val="auto"/>
          <w:highlight w:val="none"/>
        </w:rPr>
      </w:pPr>
      <w:r>
        <w:rPr>
          <w:rFonts w:hint="eastAsia"/>
          <w:color w:val="auto"/>
          <w:highlight w:val="none"/>
          <w:lang w:eastAsia="zh-CN"/>
        </w:rPr>
        <w:t>道路及硬化工程防治区</w:t>
      </w:r>
      <w:r>
        <w:rPr>
          <w:rFonts w:hint="eastAsia"/>
          <w:color w:val="auto"/>
          <w:highlight w:val="none"/>
        </w:rPr>
        <w:t>实施的</w:t>
      </w:r>
      <w:r>
        <w:rPr>
          <w:rFonts w:hint="eastAsia"/>
          <w:color w:val="auto"/>
          <w:highlight w:val="none"/>
          <w:lang w:val="en-US" w:eastAsia="zh-CN"/>
        </w:rPr>
        <w:t>植物</w:t>
      </w:r>
      <w:r>
        <w:rPr>
          <w:rFonts w:hint="eastAsia"/>
          <w:color w:val="auto"/>
          <w:highlight w:val="none"/>
        </w:rPr>
        <w:t>措施措施主要有</w:t>
      </w:r>
      <w:r>
        <w:rPr>
          <w:rFonts w:hint="eastAsia"/>
          <w:color w:val="auto"/>
          <w:highlight w:val="none"/>
          <w:lang w:val="en-US" w:eastAsia="zh-CN"/>
        </w:rPr>
        <w:t>植草砖</w:t>
      </w:r>
      <w:r>
        <w:rPr>
          <w:rFonts w:hint="eastAsia"/>
          <w:color w:val="auto"/>
          <w:highlight w:val="none"/>
        </w:rPr>
        <w:t>。</w:t>
      </w:r>
    </w:p>
    <w:p>
      <w:pPr>
        <w:numPr>
          <w:ilvl w:val="0"/>
          <w:numId w:val="7"/>
        </w:numPr>
        <w:ind w:firstLine="480"/>
        <w:rPr>
          <w:color w:val="auto"/>
          <w:highlight w:val="none"/>
        </w:rPr>
      </w:pPr>
      <w:r>
        <w:rPr>
          <w:rFonts w:hint="eastAsia"/>
          <w:color w:val="auto"/>
          <w:highlight w:val="none"/>
          <w:lang w:val="en-US" w:eastAsia="zh-CN"/>
        </w:rPr>
        <w:t>临时措施</w:t>
      </w:r>
    </w:p>
    <w:p>
      <w:pPr>
        <w:ind w:firstLine="480"/>
        <w:rPr>
          <w:color w:val="auto"/>
          <w:highlight w:val="none"/>
        </w:rPr>
      </w:pPr>
      <w:r>
        <w:rPr>
          <w:rFonts w:hint="eastAsia"/>
          <w:color w:val="auto"/>
          <w:highlight w:val="none"/>
          <w:lang w:eastAsia="zh-CN"/>
        </w:rPr>
        <w:t>道路及硬化工程防治区</w:t>
      </w:r>
      <w:r>
        <w:rPr>
          <w:rFonts w:hint="eastAsia"/>
          <w:color w:val="auto"/>
          <w:highlight w:val="none"/>
        </w:rPr>
        <w:t>实施的临时措施措施主要有临时排水沟、临时沉砂池、土袋拦挡和密目网遮盖及拆除。</w:t>
      </w:r>
    </w:p>
    <w:p>
      <w:pPr>
        <w:ind w:firstLine="480"/>
        <w:rPr>
          <w:color w:val="auto"/>
          <w:highlight w:val="none"/>
        </w:rPr>
      </w:pPr>
      <w:r>
        <w:rPr>
          <w:rFonts w:hint="eastAsia"/>
          <w:color w:val="auto"/>
          <w:highlight w:val="none"/>
        </w:rPr>
        <w:t>相关措施的工程数量见表2.4-</w:t>
      </w:r>
      <w:r>
        <w:rPr>
          <w:rFonts w:hint="eastAsia"/>
          <w:color w:val="auto"/>
          <w:highlight w:val="none"/>
          <w:lang w:val="en-US" w:eastAsia="zh-CN"/>
        </w:rPr>
        <w:t>2</w:t>
      </w:r>
      <w:r>
        <w:rPr>
          <w:rFonts w:hint="eastAsia"/>
          <w:color w:val="auto"/>
          <w:highlight w:val="none"/>
        </w:rPr>
        <w:t>。</w:t>
      </w:r>
    </w:p>
    <w:p>
      <w:pPr>
        <w:pStyle w:val="15"/>
        <w:rPr>
          <w:rFonts w:hint="eastAsia"/>
          <w:color w:val="auto"/>
          <w:highlight w:val="none"/>
        </w:rPr>
      </w:pPr>
    </w:p>
    <w:p>
      <w:pPr>
        <w:pStyle w:val="15"/>
        <w:rPr>
          <w:color w:val="auto"/>
          <w:highlight w:val="none"/>
        </w:rPr>
      </w:pPr>
      <w:r>
        <w:rPr>
          <w:rFonts w:hint="eastAsia"/>
          <w:color w:val="auto"/>
          <w:highlight w:val="none"/>
        </w:rPr>
        <w:t>表2.4-</w:t>
      </w:r>
      <w:r>
        <w:rPr>
          <w:rFonts w:hint="eastAsia"/>
          <w:color w:val="auto"/>
          <w:highlight w:val="none"/>
          <w:lang w:val="en-US" w:eastAsia="zh-CN"/>
        </w:rPr>
        <w:t>2</w:t>
      </w:r>
      <w:r>
        <w:rPr>
          <w:color w:val="auto"/>
          <w:highlight w:val="none"/>
        </w:rPr>
        <w:tab/>
      </w:r>
      <w:r>
        <w:rPr>
          <w:rFonts w:hint="eastAsia"/>
          <w:color w:val="auto"/>
          <w:highlight w:val="none"/>
        </w:rPr>
        <w:t>道路及硬化工程防治区水土保持措施工程量表</w:t>
      </w:r>
    </w:p>
    <w:tbl>
      <w:tblPr>
        <w:tblStyle w:val="11"/>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763"/>
        <w:gridCol w:w="1821"/>
        <w:gridCol w:w="2314"/>
        <w:gridCol w:w="1100"/>
        <w:gridCol w:w="110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防治分区</w:t>
            </w:r>
          </w:p>
        </w:tc>
        <w:tc>
          <w:tcPr>
            <w:tcW w:w="100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措施类型</w:t>
            </w: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措施名称</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0" w:hRule="atLeast"/>
        </w:trPr>
        <w:tc>
          <w:tcPr>
            <w:tcW w:w="1518" w:type="pct"/>
            <w:vMerge w:val="restar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道路及硬化工程防治区</w:t>
            </w:r>
          </w:p>
        </w:tc>
        <w:tc>
          <w:tcPr>
            <w:tcW w:w="1000"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工程措施</w:t>
            </w: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排水沟</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洗车槽</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个</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表土回覆</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植物措施</w:t>
            </w: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植草砖</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2</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临时措施</w:t>
            </w: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密目网遮盖及拆除</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2</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排水沟开挖</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19.2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沉砂池开挖</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1.72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27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土袋挡墙及拆除</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60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51.2</w:t>
            </w:r>
          </w:p>
        </w:tc>
      </w:tr>
    </w:tbl>
    <w:p>
      <w:pPr>
        <w:pStyle w:val="4"/>
        <w:rPr>
          <w:color w:val="auto"/>
          <w:highlight w:val="none"/>
        </w:rPr>
      </w:pPr>
      <w:r>
        <w:rPr>
          <w:rFonts w:hint="eastAsia"/>
          <w:color w:val="auto"/>
          <w:highlight w:val="none"/>
          <w:lang w:eastAsia="zh-CN"/>
        </w:rPr>
        <w:t>绿化防治区</w:t>
      </w:r>
    </w:p>
    <w:p>
      <w:pPr>
        <w:rPr>
          <w:color w:val="auto"/>
          <w:highlight w:val="none"/>
        </w:rPr>
      </w:pPr>
      <w:r>
        <w:rPr>
          <w:rFonts w:hint="eastAsia"/>
          <w:color w:val="auto"/>
          <w:highlight w:val="none"/>
        </w:rPr>
        <w:t>根据批复水土保持方案，</w:t>
      </w:r>
      <w:r>
        <w:rPr>
          <w:rFonts w:hint="eastAsia"/>
          <w:color w:val="auto"/>
          <w:highlight w:val="none"/>
          <w:lang w:val="en-US" w:eastAsia="zh-CN"/>
        </w:rPr>
        <w:t>本项目绿化防治</w:t>
      </w:r>
      <w:r>
        <w:rPr>
          <w:rFonts w:hint="eastAsia"/>
          <w:color w:val="auto"/>
          <w:highlight w:val="none"/>
        </w:rPr>
        <w:t>区总占地面积</w:t>
      </w:r>
      <w:r>
        <w:rPr>
          <w:rFonts w:hint="eastAsia"/>
          <w:color w:val="auto"/>
          <w:highlight w:val="none"/>
          <w:lang w:val="en-US" w:eastAsia="zh-CN"/>
        </w:rPr>
        <w:t>0.21</w:t>
      </w:r>
      <w:r>
        <w:rPr>
          <w:rFonts w:hint="eastAsia"/>
          <w:color w:val="auto"/>
          <w:highlight w:val="none"/>
        </w:rPr>
        <w:t>hm</w:t>
      </w:r>
      <w:r>
        <w:rPr>
          <w:rFonts w:hint="eastAsia"/>
          <w:color w:val="auto"/>
          <w:highlight w:val="none"/>
          <w:vertAlign w:val="superscript"/>
        </w:rPr>
        <w:t>2</w:t>
      </w:r>
      <w:r>
        <w:rPr>
          <w:rFonts w:hint="eastAsia"/>
          <w:color w:val="auto"/>
          <w:highlight w:val="none"/>
        </w:rPr>
        <w:t>，水保方案采取管理措施与水土保持措施进行综合防治。</w:t>
      </w:r>
    </w:p>
    <w:p>
      <w:pPr>
        <w:numPr>
          <w:ilvl w:val="0"/>
          <w:numId w:val="8"/>
        </w:numPr>
        <w:ind w:firstLine="480"/>
        <w:rPr>
          <w:color w:val="auto"/>
          <w:highlight w:val="none"/>
        </w:rPr>
      </w:pPr>
      <w:r>
        <w:rPr>
          <w:rFonts w:hint="eastAsia"/>
          <w:color w:val="auto"/>
          <w:highlight w:val="none"/>
        </w:rPr>
        <w:t>工程措施</w:t>
      </w:r>
    </w:p>
    <w:p>
      <w:pPr>
        <w:ind w:firstLine="480"/>
        <w:rPr>
          <w:color w:val="auto"/>
          <w:highlight w:val="none"/>
        </w:rPr>
      </w:pPr>
      <w:r>
        <w:rPr>
          <w:rFonts w:hint="eastAsia"/>
          <w:color w:val="auto"/>
          <w:highlight w:val="none"/>
          <w:lang w:eastAsia="zh-CN"/>
        </w:rPr>
        <w:t>绿化防治区</w:t>
      </w:r>
      <w:r>
        <w:rPr>
          <w:rFonts w:hint="eastAsia"/>
          <w:color w:val="auto"/>
          <w:highlight w:val="none"/>
        </w:rPr>
        <w:t>实施的工程措施措施主要有表土回铺。</w:t>
      </w:r>
    </w:p>
    <w:p>
      <w:pPr>
        <w:numPr>
          <w:ilvl w:val="0"/>
          <w:numId w:val="8"/>
        </w:numPr>
        <w:ind w:firstLine="480"/>
        <w:rPr>
          <w:color w:val="auto"/>
          <w:highlight w:val="none"/>
        </w:rPr>
      </w:pPr>
      <w:r>
        <w:rPr>
          <w:rFonts w:hint="eastAsia"/>
          <w:color w:val="auto"/>
          <w:highlight w:val="none"/>
          <w:lang w:val="en-US" w:eastAsia="zh-CN"/>
        </w:rPr>
        <w:t>植物</w:t>
      </w:r>
      <w:r>
        <w:rPr>
          <w:rFonts w:hint="eastAsia"/>
          <w:color w:val="auto"/>
          <w:highlight w:val="none"/>
        </w:rPr>
        <w:t>措施</w:t>
      </w:r>
    </w:p>
    <w:p>
      <w:pPr>
        <w:ind w:firstLine="480"/>
        <w:rPr>
          <w:color w:val="auto"/>
          <w:highlight w:val="none"/>
        </w:rPr>
      </w:pPr>
      <w:r>
        <w:rPr>
          <w:rFonts w:hint="eastAsia"/>
          <w:color w:val="auto"/>
          <w:highlight w:val="none"/>
          <w:lang w:eastAsia="zh-CN"/>
        </w:rPr>
        <w:t>绿化防治区</w:t>
      </w:r>
      <w:r>
        <w:rPr>
          <w:rFonts w:hint="eastAsia"/>
          <w:color w:val="auto"/>
          <w:highlight w:val="none"/>
        </w:rPr>
        <w:t>实施的临时措施措施主要有栽植乔木</w:t>
      </w:r>
      <w:r>
        <w:rPr>
          <w:rFonts w:hint="eastAsia"/>
          <w:color w:val="auto"/>
          <w:highlight w:val="none"/>
          <w:lang w:eastAsia="zh-CN"/>
        </w:rPr>
        <w:t>、</w:t>
      </w:r>
      <w:r>
        <w:rPr>
          <w:rFonts w:hint="eastAsia"/>
          <w:color w:val="auto"/>
          <w:highlight w:val="none"/>
        </w:rPr>
        <w:t>栽植灌木</w:t>
      </w:r>
      <w:r>
        <w:rPr>
          <w:rFonts w:hint="eastAsia"/>
          <w:color w:val="auto"/>
          <w:highlight w:val="none"/>
          <w:lang w:eastAsia="zh-CN"/>
        </w:rPr>
        <w:t>、</w:t>
      </w:r>
      <w:r>
        <w:rPr>
          <w:rFonts w:hint="eastAsia"/>
          <w:color w:val="auto"/>
          <w:highlight w:val="none"/>
        </w:rPr>
        <w:t>直播种草。</w:t>
      </w:r>
    </w:p>
    <w:p>
      <w:pPr>
        <w:ind w:firstLine="480"/>
        <w:rPr>
          <w:color w:val="auto"/>
          <w:highlight w:val="none"/>
        </w:rPr>
      </w:pPr>
      <w:r>
        <w:rPr>
          <w:rFonts w:hint="eastAsia"/>
          <w:color w:val="auto"/>
          <w:highlight w:val="none"/>
        </w:rPr>
        <w:t>相关措施的工程数量见表2.4-</w:t>
      </w:r>
      <w:r>
        <w:rPr>
          <w:rFonts w:hint="eastAsia"/>
          <w:color w:val="auto"/>
          <w:highlight w:val="none"/>
          <w:lang w:val="en-US" w:eastAsia="zh-CN"/>
        </w:rPr>
        <w:t>3</w:t>
      </w:r>
      <w:r>
        <w:rPr>
          <w:rFonts w:hint="eastAsia"/>
          <w:color w:val="auto"/>
          <w:highlight w:val="none"/>
        </w:rPr>
        <w:t>。</w:t>
      </w:r>
    </w:p>
    <w:p>
      <w:pPr>
        <w:pStyle w:val="15"/>
        <w:rPr>
          <w:color w:val="auto"/>
          <w:highlight w:val="none"/>
        </w:rPr>
      </w:pPr>
      <w:r>
        <w:rPr>
          <w:rFonts w:hint="eastAsia"/>
          <w:color w:val="auto"/>
          <w:highlight w:val="none"/>
        </w:rPr>
        <w:t>表2.4-</w:t>
      </w:r>
      <w:r>
        <w:rPr>
          <w:rFonts w:hint="eastAsia"/>
          <w:color w:val="auto"/>
          <w:highlight w:val="none"/>
          <w:lang w:val="en-US" w:eastAsia="zh-CN"/>
        </w:rPr>
        <w:t>3</w:t>
      </w:r>
      <w:r>
        <w:rPr>
          <w:color w:val="auto"/>
          <w:highlight w:val="none"/>
        </w:rPr>
        <w:tab/>
      </w:r>
      <w:r>
        <w:rPr>
          <w:rFonts w:hint="eastAsia"/>
          <w:color w:val="auto"/>
          <w:highlight w:val="none"/>
          <w:lang w:eastAsia="zh-CN"/>
        </w:rPr>
        <w:t>绿化防治区</w:t>
      </w:r>
      <w:r>
        <w:rPr>
          <w:rFonts w:hint="eastAsia"/>
          <w:color w:val="auto"/>
          <w:highlight w:val="none"/>
        </w:rPr>
        <w:t>新增水土保持措施工程量表</w:t>
      </w:r>
    </w:p>
    <w:tbl>
      <w:tblPr>
        <w:tblStyle w:val="11"/>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110"/>
        <w:gridCol w:w="2339"/>
        <w:gridCol w:w="1820"/>
        <w:gridCol w:w="1414"/>
        <w:gridCol w:w="141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159"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bookmarkStart w:id="11" w:name="_Toc26797"/>
            <w:r>
              <w:rPr>
                <w:rFonts w:hint="eastAsia"/>
                <w:color w:val="auto"/>
                <w:highlight w:val="none"/>
                <w:lang w:val="en-US" w:eastAsia="zh-CN"/>
              </w:rPr>
              <w:t>防治分区</w:t>
            </w:r>
          </w:p>
        </w:tc>
        <w:tc>
          <w:tcPr>
            <w:tcW w:w="128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措施类型</w:t>
            </w:r>
          </w:p>
        </w:tc>
        <w:tc>
          <w:tcPr>
            <w:tcW w:w="100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措施名称</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159" w:type="pct"/>
            <w:vMerge w:val="restar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绿化防治区</w:t>
            </w:r>
          </w:p>
        </w:tc>
        <w:tc>
          <w:tcPr>
            <w:tcW w:w="128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工程措施</w:t>
            </w:r>
          </w:p>
        </w:tc>
        <w:tc>
          <w:tcPr>
            <w:tcW w:w="100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表土回覆</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285"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植物措施</w:t>
            </w:r>
          </w:p>
        </w:tc>
        <w:tc>
          <w:tcPr>
            <w:tcW w:w="100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栽植乔木</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株</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159"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285"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栽植灌木</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株</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159"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285"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00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直播种草</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hm</w:t>
            </w:r>
            <w:r>
              <w:rPr>
                <w:rFonts w:hint="eastAsia"/>
                <w:color w:val="auto"/>
                <w:highlight w:val="none"/>
                <w:vertAlign w:val="superscript"/>
                <w:lang w:val="en-US" w:eastAsia="zh-CN"/>
              </w:rPr>
              <w:t>2</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0.1</w:t>
            </w:r>
          </w:p>
        </w:tc>
      </w:tr>
    </w:tbl>
    <w:p>
      <w:pPr>
        <w:pStyle w:val="3"/>
        <w:rPr>
          <w:rFonts w:cs="Times New Roman"/>
          <w:color w:val="auto"/>
          <w:highlight w:val="none"/>
        </w:rPr>
      </w:pPr>
      <w:r>
        <w:rPr>
          <w:rFonts w:cs="Times New Roman"/>
          <w:color w:val="auto"/>
          <w:highlight w:val="none"/>
        </w:rPr>
        <w:t>水土保持后续设计</w:t>
      </w:r>
      <w:bookmarkEnd w:id="11"/>
    </w:p>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auto"/>
          <w:highlight w:val="none"/>
        </w:rPr>
        <w:t>本工程</w:t>
      </w:r>
      <w:r>
        <w:rPr>
          <w:rFonts w:hint="eastAsia" w:cs="Times New Roman"/>
          <w:color w:val="auto"/>
          <w:highlight w:val="none"/>
        </w:rPr>
        <w:t>水土保持</w:t>
      </w:r>
      <w:r>
        <w:rPr>
          <w:rFonts w:cs="Times New Roman"/>
          <w:color w:val="auto"/>
          <w:highlight w:val="none"/>
        </w:rPr>
        <w:t>措施</w:t>
      </w:r>
      <w:r>
        <w:rPr>
          <w:rFonts w:hint="eastAsia" w:cs="Times New Roman"/>
          <w:color w:val="auto"/>
          <w:highlight w:val="none"/>
        </w:rPr>
        <w:t>均按照原</w:t>
      </w:r>
      <w:r>
        <w:rPr>
          <w:rFonts w:cs="Times New Roman"/>
          <w:color w:val="auto"/>
          <w:highlight w:val="none"/>
        </w:rPr>
        <w:t>主体设计</w:t>
      </w:r>
      <w:r>
        <w:rPr>
          <w:rFonts w:hint="eastAsia" w:cs="Times New Roman"/>
          <w:color w:val="auto"/>
          <w:highlight w:val="none"/>
        </w:rPr>
        <w:t>及批复水土保持方案进行布置，对</w:t>
      </w:r>
      <w:r>
        <w:rPr>
          <w:rFonts w:cs="Times New Roman"/>
          <w:color w:val="auto"/>
          <w:highlight w:val="none"/>
        </w:rPr>
        <w:t>批复水土保持方案</w:t>
      </w:r>
      <w:r>
        <w:rPr>
          <w:rFonts w:hint="eastAsia" w:cs="Times New Roman"/>
          <w:color w:val="auto"/>
          <w:highlight w:val="none"/>
        </w:rPr>
        <w:t>不再</w:t>
      </w:r>
      <w:r>
        <w:rPr>
          <w:rFonts w:cs="Times New Roman"/>
          <w:color w:val="auto"/>
          <w:highlight w:val="none"/>
        </w:rPr>
        <w:t>进行后续设计</w:t>
      </w:r>
      <w:r>
        <w:rPr>
          <w:rFonts w:hint="eastAsia" w:cs="Times New Roman"/>
          <w:color w:val="auto"/>
          <w:highlight w:val="none"/>
        </w:rPr>
        <w:t>。根据现场调研情况，目前</w:t>
      </w:r>
      <w:r>
        <w:rPr>
          <w:rFonts w:cs="Times New Roman"/>
          <w:color w:val="auto"/>
          <w:highlight w:val="none"/>
        </w:rPr>
        <w:t>基本满足水土保持要求，各项措施运行良好，基本满足水土保持要求。</w:t>
      </w:r>
    </w:p>
    <w:p>
      <w:pPr>
        <w:pStyle w:val="2"/>
        <w:rPr>
          <w:rFonts w:cs="Times New Roman"/>
          <w:color w:val="auto"/>
          <w:highlight w:val="none"/>
        </w:rPr>
      </w:pPr>
      <w:bookmarkStart w:id="12" w:name="_Toc23373"/>
      <w:r>
        <w:rPr>
          <w:rFonts w:cs="Times New Roman"/>
          <w:color w:val="auto"/>
          <w:highlight w:val="none"/>
        </w:rPr>
        <w:t>水土保持方案实施情况</w:t>
      </w:r>
      <w:bookmarkEnd w:id="12"/>
    </w:p>
    <w:p>
      <w:pPr>
        <w:pStyle w:val="3"/>
        <w:rPr>
          <w:rFonts w:cs="Times New Roman"/>
          <w:color w:val="auto"/>
          <w:highlight w:val="none"/>
        </w:rPr>
      </w:pPr>
      <w:bookmarkStart w:id="13" w:name="_Toc10681"/>
      <w:r>
        <w:rPr>
          <w:rFonts w:cs="Times New Roman"/>
          <w:color w:val="auto"/>
          <w:highlight w:val="none"/>
        </w:rPr>
        <w:t>水土流失防治责任范围</w:t>
      </w:r>
      <w:bookmarkEnd w:id="13"/>
    </w:p>
    <w:p>
      <w:pPr>
        <w:pStyle w:val="4"/>
        <w:rPr>
          <w:rFonts w:cs="Times New Roman"/>
          <w:color w:val="auto"/>
          <w:highlight w:val="none"/>
        </w:rPr>
      </w:pPr>
      <w:r>
        <w:rPr>
          <w:rFonts w:cs="Times New Roman"/>
          <w:color w:val="auto"/>
          <w:highlight w:val="none"/>
        </w:rPr>
        <w:t>批复方案的水土流失防治责任范围</w:t>
      </w:r>
    </w:p>
    <w:p>
      <w:pPr>
        <w:ind w:firstLine="480"/>
        <w:rPr>
          <w:rFonts w:cs="Times New Roman"/>
          <w:color w:val="auto"/>
          <w:highlight w:val="none"/>
        </w:rPr>
      </w:pPr>
      <w:r>
        <w:rPr>
          <w:rFonts w:hint="eastAsia" w:cs="Times New Roman"/>
          <w:color w:val="auto"/>
          <w:highlight w:val="none"/>
          <w:lang w:eastAsia="zh-CN"/>
        </w:rPr>
        <w:t>2016年8月29日</w:t>
      </w:r>
      <w:r>
        <w:rPr>
          <w:rFonts w:cs="Times New Roman"/>
          <w:color w:val="auto"/>
          <w:highlight w:val="none"/>
        </w:rPr>
        <w:t>，</w:t>
      </w:r>
      <w:r>
        <w:rPr>
          <w:rFonts w:hint="eastAsia" w:cs="Times New Roman"/>
          <w:color w:val="auto"/>
          <w:highlight w:val="none"/>
          <w:lang w:eastAsia="zh-CN"/>
        </w:rPr>
        <w:t>天府新区成都管委会规划建设局</w:t>
      </w:r>
      <w:r>
        <w:rPr>
          <w:rFonts w:cs="Times New Roman"/>
          <w:color w:val="auto"/>
          <w:highlight w:val="none"/>
        </w:rPr>
        <w:t>对《</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水土保持方案报告书》进行了批复（</w:t>
      </w:r>
      <w:r>
        <w:rPr>
          <w:rFonts w:hint="eastAsia" w:cs="Times New Roman"/>
          <w:color w:val="auto"/>
          <w:highlight w:val="none"/>
          <w:lang w:eastAsia="zh-CN"/>
        </w:rPr>
        <w:t>天成管规建城复[2016]210号</w:t>
      </w:r>
      <w:r>
        <w:rPr>
          <w:rFonts w:cs="Times New Roman"/>
          <w:color w:val="auto"/>
          <w:highlight w:val="none"/>
        </w:rPr>
        <w:t>），根据批复的本工程水土流失防治责任范围为</w:t>
      </w:r>
      <w:r>
        <w:rPr>
          <w:rFonts w:hint="eastAsia" w:cs="Times New Roman"/>
          <w:color w:val="auto"/>
          <w:highlight w:val="none"/>
          <w:lang w:eastAsia="zh-CN"/>
        </w:rPr>
        <w:t>4.45</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w:t>
      </w:r>
      <w:r>
        <w:rPr>
          <w:rFonts w:hint="eastAsia" w:cs="Times New Roman"/>
          <w:color w:val="auto"/>
          <w:highlight w:val="none"/>
        </w:rPr>
        <w:t>其中项目建设区</w:t>
      </w:r>
      <w:r>
        <w:rPr>
          <w:rFonts w:hint="eastAsia" w:cs="Times New Roman"/>
          <w:color w:val="auto"/>
          <w:highlight w:val="none"/>
          <w:lang w:eastAsia="zh-CN"/>
        </w:rPr>
        <w:t>4.45</w:t>
      </w:r>
      <w:r>
        <w:rPr>
          <w:rFonts w:cs="Times New Roman"/>
          <w:color w:val="auto"/>
          <w:highlight w:val="none"/>
        </w:rPr>
        <w:t>hm</w:t>
      </w:r>
      <w:r>
        <w:rPr>
          <w:rFonts w:cs="Times New Roman"/>
          <w:color w:val="auto"/>
          <w:highlight w:val="none"/>
          <w:vertAlign w:val="superscript"/>
        </w:rPr>
        <w:t>2</w:t>
      </w:r>
      <w:r>
        <w:rPr>
          <w:rFonts w:hint="eastAsia" w:cs="Times New Roman"/>
          <w:color w:val="auto"/>
          <w:highlight w:val="none"/>
        </w:rPr>
        <w:t>，直接影响区</w:t>
      </w:r>
      <w:r>
        <w:rPr>
          <w:rFonts w:hint="eastAsia" w:cs="Times New Roman"/>
          <w:color w:val="auto"/>
          <w:highlight w:val="none"/>
          <w:lang w:val="en-US" w:eastAsia="zh-CN"/>
        </w:rPr>
        <w:t>0</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w:t>
      </w:r>
    </w:p>
    <w:p>
      <w:pPr>
        <w:ind w:firstLine="480"/>
        <w:rPr>
          <w:rFonts w:cs="Times New Roman"/>
          <w:color w:val="auto"/>
          <w:highlight w:val="none"/>
        </w:rPr>
      </w:pPr>
      <w:r>
        <w:rPr>
          <w:rFonts w:cs="Times New Roman"/>
          <w:color w:val="auto"/>
          <w:highlight w:val="none"/>
        </w:rPr>
        <w:t>批复的水土流失防治责任范围详见表3.1-1所示</w:t>
      </w:r>
    </w:p>
    <w:p>
      <w:pPr>
        <w:pStyle w:val="15"/>
        <w:rPr>
          <w:rFonts w:cs="Times New Roman"/>
          <w:color w:val="auto"/>
          <w:highlight w:val="none"/>
        </w:rPr>
      </w:pPr>
      <w:r>
        <w:rPr>
          <w:rFonts w:cs="Times New Roman"/>
          <w:color w:val="auto"/>
          <w:highlight w:val="none"/>
        </w:rPr>
        <w:t>表3.1-1  方案设计的水土流失防治责任范围</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00"/>
        <w:gridCol w:w="1830"/>
        <w:gridCol w:w="1000"/>
        <w:gridCol w:w="927"/>
        <w:gridCol w:w="819"/>
        <w:gridCol w:w="362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序号</w:t>
            </w:r>
          </w:p>
        </w:tc>
        <w:tc>
          <w:tcPr>
            <w:tcW w:w="845"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防治分区</w:t>
            </w:r>
          </w:p>
        </w:tc>
        <w:tc>
          <w:tcPr>
            <w:tcW w:w="54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防治责任范围（hm²）</w:t>
            </w:r>
          </w:p>
        </w:tc>
        <w:tc>
          <w:tcPr>
            <w:tcW w:w="54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项目建设区面积（hm²）</w:t>
            </w:r>
          </w:p>
        </w:tc>
        <w:tc>
          <w:tcPr>
            <w:tcW w:w="490"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直接影响区（hm²）</w:t>
            </w:r>
          </w:p>
        </w:tc>
        <w:tc>
          <w:tcPr>
            <w:tcW w:w="2031"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防治对象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1</w:t>
            </w:r>
          </w:p>
        </w:tc>
        <w:tc>
          <w:tcPr>
            <w:tcW w:w="84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1000"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2.77</w:t>
            </w:r>
          </w:p>
        </w:tc>
        <w:tc>
          <w:tcPr>
            <w:tcW w:w="927" w:type="dxa"/>
            <w:tcBorders>
              <w:tl2br w:val="nil"/>
              <w:tr2bl w:val="nil"/>
            </w:tcBorders>
            <w:shd w:val="clear" w:color="auto" w:fill="auto"/>
            <w:noWrap/>
            <w:tcMar>
              <w:top w:w="15" w:type="dxa"/>
              <w:left w:w="15" w:type="dxa"/>
              <w:right w:w="15" w:type="dxa"/>
            </w:tcMar>
            <w:vAlign w:val="bottom"/>
          </w:tcPr>
          <w:p>
            <w:pPr>
              <w:pStyle w:val="16"/>
              <w:bidi w:val="0"/>
              <w:ind w:firstLine="0" w:firstLineChars="0"/>
              <w:rPr>
                <w:rFonts w:hint="eastAsia" w:eastAsia="仿宋"/>
                <w:color w:val="auto"/>
                <w:highlight w:val="none"/>
                <w:lang w:eastAsia="zh-CN"/>
              </w:rPr>
            </w:pPr>
            <w:r>
              <w:rPr>
                <w:rFonts w:hint="eastAsia"/>
                <w:color w:val="auto"/>
                <w:highlight w:val="none"/>
                <w:lang w:val="en-US" w:eastAsia="zh-CN"/>
              </w:rPr>
              <w:t>2.77</w:t>
            </w:r>
          </w:p>
        </w:tc>
        <w:tc>
          <w:tcPr>
            <w:tcW w:w="490"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0</w:t>
            </w:r>
          </w:p>
        </w:tc>
        <w:tc>
          <w:tcPr>
            <w:tcW w:w="2031" w:type="pct"/>
            <w:tcBorders>
              <w:tl2br w:val="nil"/>
              <w:tr2bl w:val="nil"/>
            </w:tcBorders>
            <w:shd w:val="clear" w:color="auto" w:fill="auto"/>
            <w:noWrap/>
            <w:tcMar>
              <w:top w:w="15" w:type="dxa"/>
              <w:left w:w="15" w:type="dxa"/>
              <w:right w:w="15" w:type="dxa"/>
            </w:tcMar>
            <w:vAlign w:val="center"/>
          </w:tcPr>
          <w:p>
            <w:pPr>
              <w:pStyle w:val="16"/>
              <w:rPr>
                <w:rFonts w:hint="default" w:eastAsia="仿宋"/>
                <w:color w:val="auto"/>
                <w:highlight w:val="none"/>
                <w:lang w:val="en-US" w:eastAsia="zh-CN"/>
              </w:rPr>
            </w:pPr>
            <w:r>
              <w:rPr>
                <w:rFonts w:hint="eastAsia"/>
                <w:color w:val="auto"/>
                <w:highlight w:val="none"/>
                <w:lang w:val="en-US" w:eastAsia="zh-CN"/>
              </w:rPr>
              <w:t>厂房、辅助设施等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2</w:t>
            </w:r>
          </w:p>
        </w:tc>
        <w:tc>
          <w:tcPr>
            <w:tcW w:w="84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1000"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1.47</w:t>
            </w:r>
          </w:p>
        </w:tc>
        <w:tc>
          <w:tcPr>
            <w:tcW w:w="927" w:type="dxa"/>
            <w:tcBorders>
              <w:tl2br w:val="nil"/>
              <w:tr2bl w:val="nil"/>
            </w:tcBorders>
            <w:shd w:val="clear" w:color="auto" w:fill="auto"/>
            <w:noWrap/>
            <w:tcMar>
              <w:top w:w="15" w:type="dxa"/>
              <w:left w:w="15" w:type="dxa"/>
              <w:right w:w="15" w:type="dxa"/>
            </w:tcMar>
            <w:vAlign w:val="bottom"/>
          </w:tcPr>
          <w:p>
            <w:pPr>
              <w:pStyle w:val="16"/>
              <w:bidi w:val="0"/>
              <w:ind w:firstLine="0" w:firstLineChars="0"/>
              <w:rPr>
                <w:color w:val="auto"/>
                <w:highlight w:val="none"/>
              </w:rPr>
            </w:pPr>
            <w:r>
              <w:rPr>
                <w:rFonts w:hint="eastAsia"/>
                <w:color w:val="auto"/>
                <w:highlight w:val="none"/>
                <w:lang w:val="en-US" w:eastAsia="zh-CN"/>
              </w:rPr>
              <w:t>1.47</w:t>
            </w:r>
          </w:p>
        </w:tc>
        <w:tc>
          <w:tcPr>
            <w:tcW w:w="490"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0</w:t>
            </w:r>
          </w:p>
        </w:tc>
        <w:tc>
          <w:tcPr>
            <w:tcW w:w="2031" w:type="pct"/>
            <w:tcBorders>
              <w:tl2br w:val="nil"/>
              <w:tr2bl w:val="nil"/>
            </w:tcBorders>
            <w:shd w:val="clear" w:color="auto" w:fill="auto"/>
            <w:noWrap/>
            <w:tcMar>
              <w:top w:w="15" w:type="dxa"/>
              <w:left w:w="15" w:type="dxa"/>
              <w:right w:w="15" w:type="dxa"/>
            </w:tcMar>
            <w:vAlign w:val="center"/>
          </w:tcPr>
          <w:p>
            <w:pPr>
              <w:pStyle w:val="16"/>
              <w:rPr>
                <w:rFonts w:hint="default" w:eastAsia="仿宋"/>
                <w:color w:val="auto"/>
                <w:highlight w:val="none"/>
                <w:lang w:val="en-US" w:eastAsia="zh-CN"/>
              </w:rPr>
            </w:pPr>
            <w:r>
              <w:rPr>
                <w:rFonts w:hint="eastAsia"/>
                <w:color w:val="auto"/>
                <w:highlight w:val="none"/>
                <w:lang w:val="en-US" w:eastAsia="zh-CN"/>
              </w:rPr>
              <w:t>道路、回车场、停车场等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3</w:t>
            </w:r>
          </w:p>
        </w:tc>
        <w:tc>
          <w:tcPr>
            <w:tcW w:w="84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1000"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0.21</w:t>
            </w:r>
          </w:p>
        </w:tc>
        <w:tc>
          <w:tcPr>
            <w:tcW w:w="927" w:type="dxa"/>
            <w:tcBorders>
              <w:tl2br w:val="nil"/>
              <w:tr2bl w:val="nil"/>
            </w:tcBorders>
            <w:shd w:val="clear" w:color="auto" w:fill="auto"/>
            <w:noWrap/>
            <w:tcMar>
              <w:top w:w="15" w:type="dxa"/>
              <w:left w:w="15" w:type="dxa"/>
              <w:right w:w="15" w:type="dxa"/>
            </w:tcMar>
            <w:vAlign w:val="bottom"/>
          </w:tcPr>
          <w:p>
            <w:pPr>
              <w:pStyle w:val="16"/>
              <w:bidi w:val="0"/>
              <w:ind w:firstLine="0" w:firstLineChars="0"/>
              <w:rPr>
                <w:color w:val="auto"/>
                <w:highlight w:val="none"/>
              </w:rPr>
            </w:pPr>
            <w:r>
              <w:rPr>
                <w:rFonts w:hint="eastAsia"/>
                <w:color w:val="auto"/>
                <w:highlight w:val="none"/>
                <w:lang w:val="en-US" w:eastAsia="zh-CN"/>
              </w:rPr>
              <w:t>0.21</w:t>
            </w:r>
          </w:p>
        </w:tc>
        <w:tc>
          <w:tcPr>
            <w:tcW w:w="490"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0</w:t>
            </w:r>
          </w:p>
        </w:tc>
        <w:tc>
          <w:tcPr>
            <w:tcW w:w="2031"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景观绿化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79" w:type="pct"/>
            <w:gridSpan w:val="2"/>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合计</w:t>
            </w:r>
          </w:p>
        </w:tc>
        <w:tc>
          <w:tcPr>
            <w:tcW w:w="54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4.45</w:t>
            </w:r>
          </w:p>
        </w:tc>
        <w:tc>
          <w:tcPr>
            <w:tcW w:w="54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4.45</w:t>
            </w:r>
          </w:p>
        </w:tc>
        <w:tc>
          <w:tcPr>
            <w:tcW w:w="490"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val="en-US" w:eastAsia="zh-CN"/>
              </w:rPr>
            </w:pPr>
            <w:r>
              <w:rPr>
                <w:rFonts w:hint="eastAsia"/>
                <w:color w:val="auto"/>
                <w:highlight w:val="none"/>
                <w:lang w:val="en-US" w:eastAsia="zh-CN"/>
              </w:rPr>
              <w:t>0</w:t>
            </w:r>
          </w:p>
        </w:tc>
        <w:tc>
          <w:tcPr>
            <w:tcW w:w="2031"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p>
        </w:tc>
      </w:tr>
    </w:tbl>
    <w:p>
      <w:pPr>
        <w:pStyle w:val="4"/>
        <w:rPr>
          <w:rFonts w:cs="Times New Roman"/>
          <w:color w:val="auto"/>
          <w:highlight w:val="none"/>
        </w:rPr>
      </w:pPr>
      <w:r>
        <w:rPr>
          <w:rFonts w:cs="Times New Roman"/>
          <w:color w:val="auto"/>
          <w:highlight w:val="none"/>
        </w:rPr>
        <w:t>实际水土流失防治责任范围</w:t>
      </w:r>
    </w:p>
    <w:p>
      <w:pPr>
        <w:ind w:firstLine="480"/>
        <w:rPr>
          <w:rFonts w:cs="Times New Roman"/>
          <w:color w:val="auto"/>
          <w:highlight w:val="none"/>
        </w:rPr>
      </w:pPr>
      <w:r>
        <w:rPr>
          <w:rFonts w:cs="Times New Roman"/>
          <w:color w:val="auto"/>
          <w:highlight w:val="none"/>
        </w:rPr>
        <w:t>根据现场查勘及资料分析结合监测资料，工程实际扰动范围</w:t>
      </w:r>
      <w:r>
        <w:rPr>
          <w:rFonts w:hint="eastAsia" w:cs="Times New Roman"/>
          <w:color w:val="auto"/>
          <w:highlight w:val="none"/>
          <w:lang w:eastAsia="zh-CN"/>
        </w:rPr>
        <w:t>4.45</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w:t>
      </w:r>
      <w:r>
        <w:rPr>
          <w:rFonts w:hint="eastAsia" w:cs="Times New Roman"/>
          <w:color w:val="auto"/>
          <w:highlight w:val="none"/>
        </w:rPr>
        <w:t>均为项目建设区</w:t>
      </w:r>
      <w:r>
        <w:rPr>
          <w:rFonts w:cs="Times New Roman"/>
          <w:color w:val="auto"/>
          <w:highlight w:val="none"/>
        </w:rPr>
        <w:t>。本工程实际水土流失防治责任范围详见表3.1-2。</w:t>
      </w:r>
    </w:p>
    <w:p>
      <w:pPr>
        <w:pStyle w:val="15"/>
        <w:rPr>
          <w:color w:val="auto"/>
          <w:highlight w:val="none"/>
        </w:rPr>
      </w:pPr>
      <w:r>
        <w:rPr>
          <w:color w:val="auto"/>
          <w:highlight w:val="none"/>
        </w:rPr>
        <w:t>表3.1-2  工程实际水土流失防治责任范围情况表</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00"/>
        <w:gridCol w:w="1830"/>
        <w:gridCol w:w="1000"/>
        <w:gridCol w:w="927"/>
        <w:gridCol w:w="819"/>
        <w:gridCol w:w="362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序号</w:t>
            </w:r>
          </w:p>
        </w:tc>
        <w:tc>
          <w:tcPr>
            <w:tcW w:w="845"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防治分区</w:t>
            </w:r>
          </w:p>
        </w:tc>
        <w:tc>
          <w:tcPr>
            <w:tcW w:w="54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防治责任范围（hm²）</w:t>
            </w:r>
          </w:p>
        </w:tc>
        <w:tc>
          <w:tcPr>
            <w:tcW w:w="54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项目建设区面积（hm²）</w:t>
            </w:r>
          </w:p>
        </w:tc>
        <w:tc>
          <w:tcPr>
            <w:tcW w:w="490"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直接影响区（hm²）</w:t>
            </w:r>
          </w:p>
        </w:tc>
        <w:tc>
          <w:tcPr>
            <w:tcW w:w="2031"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防治对象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1</w:t>
            </w:r>
          </w:p>
        </w:tc>
        <w:tc>
          <w:tcPr>
            <w:tcW w:w="84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1000"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2.77</w:t>
            </w:r>
          </w:p>
        </w:tc>
        <w:tc>
          <w:tcPr>
            <w:tcW w:w="927" w:type="dxa"/>
            <w:tcBorders>
              <w:tl2br w:val="nil"/>
              <w:tr2bl w:val="nil"/>
            </w:tcBorders>
            <w:shd w:val="clear" w:color="auto" w:fill="auto"/>
            <w:noWrap/>
            <w:tcMar>
              <w:top w:w="15" w:type="dxa"/>
              <w:left w:w="15" w:type="dxa"/>
              <w:right w:w="15" w:type="dxa"/>
            </w:tcMar>
            <w:vAlign w:val="bottom"/>
          </w:tcPr>
          <w:p>
            <w:pPr>
              <w:pStyle w:val="16"/>
              <w:bidi w:val="0"/>
              <w:ind w:firstLine="0" w:firstLineChars="0"/>
              <w:rPr>
                <w:rFonts w:hint="eastAsia" w:eastAsia="仿宋"/>
                <w:color w:val="auto"/>
                <w:highlight w:val="none"/>
                <w:lang w:eastAsia="zh-CN"/>
              </w:rPr>
            </w:pPr>
            <w:r>
              <w:rPr>
                <w:rFonts w:hint="eastAsia"/>
                <w:color w:val="auto"/>
                <w:highlight w:val="none"/>
                <w:lang w:val="en-US" w:eastAsia="zh-CN"/>
              </w:rPr>
              <w:t>2.77</w:t>
            </w:r>
          </w:p>
        </w:tc>
        <w:tc>
          <w:tcPr>
            <w:tcW w:w="490"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0</w:t>
            </w:r>
          </w:p>
        </w:tc>
        <w:tc>
          <w:tcPr>
            <w:tcW w:w="2031" w:type="pct"/>
            <w:tcBorders>
              <w:tl2br w:val="nil"/>
              <w:tr2bl w:val="nil"/>
            </w:tcBorders>
            <w:shd w:val="clear" w:color="auto" w:fill="auto"/>
            <w:noWrap/>
            <w:tcMar>
              <w:top w:w="15" w:type="dxa"/>
              <w:left w:w="15" w:type="dxa"/>
              <w:right w:w="15" w:type="dxa"/>
            </w:tcMar>
            <w:vAlign w:val="center"/>
          </w:tcPr>
          <w:p>
            <w:pPr>
              <w:pStyle w:val="16"/>
              <w:rPr>
                <w:rFonts w:hint="default" w:eastAsia="仿宋"/>
                <w:color w:val="auto"/>
                <w:highlight w:val="none"/>
                <w:lang w:val="en-US" w:eastAsia="zh-CN"/>
              </w:rPr>
            </w:pPr>
            <w:r>
              <w:rPr>
                <w:rFonts w:hint="eastAsia"/>
                <w:color w:val="auto"/>
                <w:highlight w:val="none"/>
                <w:lang w:val="en-US" w:eastAsia="zh-CN"/>
              </w:rPr>
              <w:t>厂房、辅助设施等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2</w:t>
            </w:r>
          </w:p>
        </w:tc>
        <w:tc>
          <w:tcPr>
            <w:tcW w:w="84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1000"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1.47</w:t>
            </w:r>
          </w:p>
        </w:tc>
        <w:tc>
          <w:tcPr>
            <w:tcW w:w="927" w:type="dxa"/>
            <w:tcBorders>
              <w:tl2br w:val="nil"/>
              <w:tr2bl w:val="nil"/>
            </w:tcBorders>
            <w:shd w:val="clear" w:color="auto" w:fill="auto"/>
            <w:noWrap/>
            <w:tcMar>
              <w:top w:w="15" w:type="dxa"/>
              <w:left w:w="15" w:type="dxa"/>
              <w:right w:w="15" w:type="dxa"/>
            </w:tcMar>
            <w:vAlign w:val="bottom"/>
          </w:tcPr>
          <w:p>
            <w:pPr>
              <w:pStyle w:val="16"/>
              <w:bidi w:val="0"/>
              <w:ind w:firstLine="0" w:firstLineChars="0"/>
              <w:rPr>
                <w:color w:val="auto"/>
                <w:highlight w:val="none"/>
              </w:rPr>
            </w:pPr>
            <w:r>
              <w:rPr>
                <w:rFonts w:hint="eastAsia"/>
                <w:color w:val="auto"/>
                <w:highlight w:val="none"/>
                <w:lang w:val="en-US" w:eastAsia="zh-CN"/>
              </w:rPr>
              <w:t>1.47</w:t>
            </w:r>
          </w:p>
        </w:tc>
        <w:tc>
          <w:tcPr>
            <w:tcW w:w="490"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0</w:t>
            </w:r>
          </w:p>
        </w:tc>
        <w:tc>
          <w:tcPr>
            <w:tcW w:w="2031" w:type="pct"/>
            <w:tcBorders>
              <w:tl2br w:val="nil"/>
              <w:tr2bl w:val="nil"/>
            </w:tcBorders>
            <w:shd w:val="clear" w:color="auto" w:fill="auto"/>
            <w:noWrap/>
            <w:tcMar>
              <w:top w:w="15" w:type="dxa"/>
              <w:left w:w="15" w:type="dxa"/>
              <w:right w:w="15" w:type="dxa"/>
            </w:tcMar>
            <w:vAlign w:val="center"/>
          </w:tcPr>
          <w:p>
            <w:pPr>
              <w:pStyle w:val="16"/>
              <w:rPr>
                <w:rFonts w:hint="default" w:eastAsia="仿宋"/>
                <w:color w:val="auto"/>
                <w:highlight w:val="none"/>
                <w:lang w:val="en-US" w:eastAsia="zh-CN"/>
              </w:rPr>
            </w:pPr>
            <w:r>
              <w:rPr>
                <w:rFonts w:hint="eastAsia"/>
                <w:color w:val="auto"/>
                <w:highlight w:val="none"/>
                <w:lang w:val="en-US" w:eastAsia="zh-CN"/>
              </w:rPr>
              <w:t>道路、回车场、停车场等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3</w:t>
            </w:r>
          </w:p>
        </w:tc>
        <w:tc>
          <w:tcPr>
            <w:tcW w:w="84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1000"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0.21</w:t>
            </w:r>
          </w:p>
        </w:tc>
        <w:tc>
          <w:tcPr>
            <w:tcW w:w="927" w:type="dxa"/>
            <w:tcBorders>
              <w:tl2br w:val="nil"/>
              <w:tr2bl w:val="nil"/>
            </w:tcBorders>
            <w:shd w:val="clear" w:color="auto" w:fill="auto"/>
            <w:noWrap/>
            <w:tcMar>
              <w:top w:w="15" w:type="dxa"/>
              <w:left w:w="15" w:type="dxa"/>
              <w:right w:w="15" w:type="dxa"/>
            </w:tcMar>
            <w:vAlign w:val="bottom"/>
          </w:tcPr>
          <w:p>
            <w:pPr>
              <w:pStyle w:val="16"/>
              <w:bidi w:val="0"/>
              <w:ind w:firstLine="0" w:firstLineChars="0"/>
              <w:rPr>
                <w:color w:val="auto"/>
                <w:highlight w:val="none"/>
              </w:rPr>
            </w:pPr>
            <w:r>
              <w:rPr>
                <w:rFonts w:hint="eastAsia"/>
                <w:color w:val="auto"/>
                <w:highlight w:val="none"/>
                <w:lang w:val="en-US" w:eastAsia="zh-CN"/>
              </w:rPr>
              <w:t>0.21</w:t>
            </w:r>
          </w:p>
        </w:tc>
        <w:tc>
          <w:tcPr>
            <w:tcW w:w="490"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0</w:t>
            </w:r>
          </w:p>
        </w:tc>
        <w:tc>
          <w:tcPr>
            <w:tcW w:w="2031"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景观绿化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79" w:type="pct"/>
            <w:gridSpan w:val="2"/>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合计</w:t>
            </w:r>
          </w:p>
        </w:tc>
        <w:tc>
          <w:tcPr>
            <w:tcW w:w="54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4.45</w:t>
            </w:r>
          </w:p>
        </w:tc>
        <w:tc>
          <w:tcPr>
            <w:tcW w:w="54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4.45</w:t>
            </w:r>
          </w:p>
        </w:tc>
        <w:tc>
          <w:tcPr>
            <w:tcW w:w="490"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val="en-US" w:eastAsia="zh-CN"/>
              </w:rPr>
            </w:pPr>
            <w:r>
              <w:rPr>
                <w:rFonts w:hint="eastAsia"/>
                <w:color w:val="auto"/>
                <w:highlight w:val="none"/>
                <w:lang w:val="en-US" w:eastAsia="zh-CN"/>
              </w:rPr>
              <w:t>0</w:t>
            </w:r>
          </w:p>
        </w:tc>
        <w:tc>
          <w:tcPr>
            <w:tcW w:w="2031"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p>
        </w:tc>
      </w:tr>
    </w:tbl>
    <w:p>
      <w:pPr>
        <w:pStyle w:val="4"/>
        <w:rPr>
          <w:rFonts w:cs="Times New Roman"/>
          <w:color w:val="auto"/>
          <w:highlight w:val="none"/>
        </w:rPr>
      </w:pPr>
      <w:r>
        <w:rPr>
          <w:rFonts w:cs="Times New Roman"/>
          <w:color w:val="auto"/>
          <w:highlight w:val="none"/>
        </w:rPr>
        <w:t>验收后的水土流失防治责任范围</w:t>
      </w:r>
    </w:p>
    <w:p>
      <w:pPr>
        <w:ind w:firstLine="480"/>
        <w:rPr>
          <w:rFonts w:cs="Times New Roman"/>
          <w:color w:val="auto"/>
          <w:highlight w:val="none"/>
        </w:rPr>
      </w:pPr>
      <w:r>
        <w:rPr>
          <w:rFonts w:cs="Times New Roman"/>
          <w:color w:val="auto"/>
          <w:highlight w:val="none"/>
        </w:rPr>
        <w:t>验收后的水土流失防治责任范围为永久占地区面积，</w:t>
      </w:r>
      <w:r>
        <w:rPr>
          <w:rFonts w:hint="eastAsia" w:cs="Times New Roman"/>
          <w:color w:val="auto"/>
          <w:highlight w:val="none"/>
          <w:lang w:val="en-US" w:eastAsia="zh-CN"/>
        </w:rPr>
        <w:t>即项目占地</w:t>
      </w:r>
      <w:r>
        <w:rPr>
          <w:rFonts w:hint="eastAsia"/>
          <w:color w:val="auto"/>
          <w:highlight w:val="none"/>
        </w:rPr>
        <w:t>，</w:t>
      </w:r>
      <w:r>
        <w:rPr>
          <w:rFonts w:cs="Times New Roman"/>
          <w:color w:val="auto"/>
          <w:highlight w:val="none"/>
        </w:rPr>
        <w:t>共计</w:t>
      </w:r>
      <w:r>
        <w:rPr>
          <w:rFonts w:hint="eastAsia" w:cs="Times New Roman"/>
          <w:color w:val="auto"/>
          <w:highlight w:val="none"/>
          <w:lang w:eastAsia="zh-CN"/>
        </w:rPr>
        <w:t>4.45</w:t>
      </w:r>
      <w:r>
        <w:rPr>
          <w:rFonts w:cs="Times New Roman"/>
          <w:color w:val="auto"/>
          <w:highlight w:val="none"/>
        </w:rPr>
        <w:t xml:space="preserve"> hm</w:t>
      </w:r>
      <w:r>
        <w:rPr>
          <w:rFonts w:cs="Times New Roman"/>
          <w:color w:val="auto"/>
          <w:highlight w:val="none"/>
          <w:vertAlign w:val="superscript"/>
        </w:rPr>
        <w:t>2</w:t>
      </w:r>
      <w:r>
        <w:rPr>
          <w:rFonts w:cs="Times New Roman"/>
          <w:color w:val="auto"/>
          <w:highlight w:val="none"/>
        </w:rPr>
        <w:t>。验收后的水土流失防治责任范围详见表3.1-3。</w:t>
      </w:r>
    </w:p>
    <w:p>
      <w:pPr>
        <w:pStyle w:val="15"/>
        <w:rPr>
          <w:rFonts w:cs="Times New Roman"/>
          <w:color w:val="auto"/>
          <w:highlight w:val="none"/>
        </w:rPr>
      </w:pPr>
      <w:r>
        <w:rPr>
          <w:rFonts w:cs="Times New Roman"/>
          <w:color w:val="auto"/>
          <w:highlight w:val="none"/>
        </w:rPr>
        <w:t>表3.1-3 验收后水土流失防治责任范围情况表</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00"/>
        <w:gridCol w:w="1832"/>
        <w:gridCol w:w="1000"/>
        <w:gridCol w:w="1588"/>
        <w:gridCol w:w="914"/>
        <w:gridCol w:w="286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9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序号</w:t>
            </w:r>
          </w:p>
        </w:tc>
        <w:tc>
          <w:tcPr>
            <w:tcW w:w="1005"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防治分区</w:t>
            </w:r>
          </w:p>
        </w:tc>
        <w:tc>
          <w:tcPr>
            <w:tcW w:w="54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防治责任范围（hm²）</w:t>
            </w:r>
          </w:p>
        </w:tc>
        <w:tc>
          <w:tcPr>
            <w:tcW w:w="87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项目建设区面积（hm²）</w:t>
            </w:r>
          </w:p>
        </w:tc>
        <w:tc>
          <w:tcPr>
            <w:tcW w:w="50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直接影响区（hm²）</w:t>
            </w:r>
          </w:p>
        </w:tc>
        <w:tc>
          <w:tcPr>
            <w:tcW w:w="157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防治对象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9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1</w:t>
            </w:r>
          </w:p>
        </w:tc>
        <w:tc>
          <w:tcPr>
            <w:tcW w:w="100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549" w:type="pct"/>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2.77</w:t>
            </w:r>
          </w:p>
        </w:tc>
        <w:tc>
          <w:tcPr>
            <w:tcW w:w="872" w:type="pct"/>
            <w:tcBorders>
              <w:tl2br w:val="nil"/>
              <w:tr2bl w:val="nil"/>
            </w:tcBorders>
            <w:shd w:val="clear" w:color="auto" w:fill="auto"/>
            <w:noWrap/>
            <w:tcMar>
              <w:top w:w="15" w:type="dxa"/>
              <w:left w:w="15" w:type="dxa"/>
              <w:right w:w="15" w:type="dxa"/>
            </w:tcMar>
            <w:vAlign w:val="bottom"/>
          </w:tcPr>
          <w:p>
            <w:pPr>
              <w:pStyle w:val="16"/>
              <w:bidi w:val="0"/>
              <w:ind w:firstLine="0" w:firstLineChars="0"/>
              <w:rPr>
                <w:rFonts w:hint="eastAsia" w:eastAsia="仿宋"/>
                <w:color w:val="auto"/>
                <w:highlight w:val="none"/>
                <w:lang w:eastAsia="zh-CN"/>
              </w:rPr>
            </w:pPr>
            <w:r>
              <w:rPr>
                <w:rFonts w:hint="eastAsia"/>
                <w:color w:val="auto"/>
                <w:highlight w:val="none"/>
                <w:lang w:val="en-US" w:eastAsia="zh-CN"/>
              </w:rPr>
              <w:t>2.77</w:t>
            </w:r>
          </w:p>
        </w:tc>
        <w:tc>
          <w:tcPr>
            <w:tcW w:w="502"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0</w:t>
            </w:r>
          </w:p>
        </w:tc>
        <w:tc>
          <w:tcPr>
            <w:tcW w:w="1574" w:type="pct"/>
            <w:tcBorders>
              <w:tl2br w:val="nil"/>
              <w:tr2bl w:val="nil"/>
            </w:tcBorders>
            <w:shd w:val="clear" w:color="auto" w:fill="auto"/>
            <w:noWrap/>
            <w:tcMar>
              <w:top w:w="15" w:type="dxa"/>
              <w:left w:w="15" w:type="dxa"/>
              <w:right w:w="15" w:type="dxa"/>
            </w:tcMar>
            <w:vAlign w:val="center"/>
          </w:tcPr>
          <w:p>
            <w:pPr>
              <w:pStyle w:val="16"/>
              <w:rPr>
                <w:rFonts w:hint="default" w:eastAsia="仿宋"/>
                <w:color w:val="auto"/>
                <w:highlight w:val="none"/>
                <w:lang w:val="en-US" w:eastAsia="zh-CN"/>
              </w:rPr>
            </w:pPr>
            <w:r>
              <w:rPr>
                <w:rFonts w:hint="eastAsia"/>
                <w:color w:val="auto"/>
                <w:highlight w:val="none"/>
                <w:lang w:val="en-US" w:eastAsia="zh-CN"/>
              </w:rPr>
              <w:t>厂房、辅助设施等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9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2</w:t>
            </w:r>
          </w:p>
        </w:tc>
        <w:tc>
          <w:tcPr>
            <w:tcW w:w="100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549" w:type="pct"/>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1.47</w:t>
            </w:r>
          </w:p>
        </w:tc>
        <w:tc>
          <w:tcPr>
            <w:tcW w:w="872" w:type="pct"/>
            <w:tcBorders>
              <w:tl2br w:val="nil"/>
              <w:tr2bl w:val="nil"/>
            </w:tcBorders>
            <w:shd w:val="clear" w:color="auto" w:fill="auto"/>
            <w:noWrap/>
            <w:tcMar>
              <w:top w:w="15" w:type="dxa"/>
              <w:left w:w="15" w:type="dxa"/>
              <w:right w:w="15" w:type="dxa"/>
            </w:tcMar>
            <w:vAlign w:val="bottom"/>
          </w:tcPr>
          <w:p>
            <w:pPr>
              <w:pStyle w:val="16"/>
              <w:bidi w:val="0"/>
              <w:ind w:firstLine="0" w:firstLineChars="0"/>
              <w:rPr>
                <w:color w:val="auto"/>
                <w:highlight w:val="none"/>
              </w:rPr>
            </w:pPr>
            <w:r>
              <w:rPr>
                <w:rFonts w:hint="eastAsia"/>
                <w:color w:val="auto"/>
                <w:highlight w:val="none"/>
                <w:lang w:val="en-US" w:eastAsia="zh-CN"/>
              </w:rPr>
              <w:t>1.47</w:t>
            </w:r>
          </w:p>
        </w:tc>
        <w:tc>
          <w:tcPr>
            <w:tcW w:w="502"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0</w:t>
            </w:r>
          </w:p>
        </w:tc>
        <w:tc>
          <w:tcPr>
            <w:tcW w:w="1574" w:type="pct"/>
            <w:tcBorders>
              <w:tl2br w:val="nil"/>
              <w:tr2bl w:val="nil"/>
            </w:tcBorders>
            <w:shd w:val="clear" w:color="auto" w:fill="auto"/>
            <w:noWrap/>
            <w:tcMar>
              <w:top w:w="15" w:type="dxa"/>
              <w:left w:w="15" w:type="dxa"/>
              <w:right w:w="15" w:type="dxa"/>
            </w:tcMar>
            <w:vAlign w:val="center"/>
          </w:tcPr>
          <w:p>
            <w:pPr>
              <w:pStyle w:val="16"/>
              <w:rPr>
                <w:rFonts w:hint="default" w:eastAsia="仿宋"/>
                <w:color w:val="auto"/>
                <w:highlight w:val="none"/>
                <w:lang w:val="en-US" w:eastAsia="zh-CN"/>
              </w:rPr>
            </w:pPr>
            <w:r>
              <w:rPr>
                <w:rFonts w:hint="eastAsia"/>
                <w:color w:val="auto"/>
                <w:highlight w:val="none"/>
                <w:lang w:val="en-US" w:eastAsia="zh-CN"/>
              </w:rPr>
              <w:t>道路、回车场、停车场等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9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3</w:t>
            </w:r>
          </w:p>
        </w:tc>
        <w:tc>
          <w:tcPr>
            <w:tcW w:w="100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549" w:type="pct"/>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0.21</w:t>
            </w:r>
          </w:p>
        </w:tc>
        <w:tc>
          <w:tcPr>
            <w:tcW w:w="872" w:type="pct"/>
            <w:tcBorders>
              <w:tl2br w:val="nil"/>
              <w:tr2bl w:val="nil"/>
            </w:tcBorders>
            <w:shd w:val="clear" w:color="auto" w:fill="auto"/>
            <w:noWrap/>
            <w:tcMar>
              <w:top w:w="15" w:type="dxa"/>
              <w:left w:w="15" w:type="dxa"/>
              <w:right w:w="15" w:type="dxa"/>
            </w:tcMar>
            <w:vAlign w:val="bottom"/>
          </w:tcPr>
          <w:p>
            <w:pPr>
              <w:pStyle w:val="16"/>
              <w:bidi w:val="0"/>
              <w:ind w:firstLine="0" w:firstLineChars="0"/>
              <w:rPr>
                <w:color w:val="auto"/>
                <w:highlight w:val="none"/>
              </w:rPr>
            </w:pPr>
            <w:r>
              <w:rPr>
                <w:rFonts w:hint="eastAsia"/>
                <w:color w:val="auto"/>
                <w:highlight w:val="none"/>
                <w:lang w:val="en-US" w:eastAsia="zh-CN"/>
              </w:rPr>
              <w:t>0.21</w:t>
            </w:r>
          </w:p>
        </w:tc>
        <w:tc>
          <w:tcPr>
            <w:tcW w:w="502"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0</w:t>
            </w:r>
          </w:p>
        </w:tc>
        <w:tc>
          <w:tcPr>
            <w:tcW w:w="1574"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景观绿化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500" w:type="pct"/>
            <w:gridSpan w:val="2"/>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合计</w:t>
            </w:r>
          </w:p>
        </w:tc>
        <w:tc>
          <w:tcPr>
            <w:tcW w:w="54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4.45</w:t>
            </w:r>
          </w:p>
        </w:tc>
        <w:tc>
          <w:tcPr>
            <w:tcW w:w="872"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4.45</w:t>
            </w:r>
          </w:p>
        </w:tc>
        <w:tc>
          <w:tcPr>
            <w:tcW w:w="502"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val="en-US" w:eastAsia="zh-CN"/>
              </w:rPr>
            </w:pPr>
            <w:r>
              <w:rPr>
                <w:rFonts w:hint="eastAsia"/>
                <w:color w:val="auto"/>
                <w:highlight w:val="none"/>
                <w:lang w:val="en-US" w:eastAsia="zh-CN"/>
              </w:rPr>
              <w:t>0</w:t>
            </w:r>
          </w:p>
        </w:tc>
        <w:tc>
          <w:tcPr>
            <w:tcW w:w="1574"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p>
        </w:tc>
      </w:tr>
    </w:tbl>
    <w:p>
      <w:pPr>
        <w:pStyle w:val="4"/>
        <w:rPr>
          <w:rFonts w:cs="Times New Roman"/>
          <w:color w:val="auto"/>
          <w:highlight w:val="none"/>
        </w:rPr>
      </w:pPr>
      <w:r>
        <w:rPr>
          <w:rFonts w:cs="Times New Roman"/>
          <w:color w:val="auto"/>
          <w:highlight w:val="none"/>
        </w:rPr>
        <w:t>水土流失防治责任范围变化情况</w:t>
      </w:r>
    </w:p>
    <w:p>
      <w:pPr>
        <w:ind w:firstLine="480"/>
        <w:rPr>
          <w:color w:val="auto"/>
          <w:highlight w:val="none"/>
        </w:rPr>
      </w:pPr>
      <w:r>
        <w:rPr>
          <w:rFonts w:hint="eastAsia"/>
          <w:color w:val="auto"/>
          <w:highlight w:val="none"/>
        </w:rPr>
        <w:t>工程实际扰动范围</w:t>
      </w:r>
      <w:r>
        <w:rPr>
          <w:rFonts w:hint="eastAsia"/>
          <w:color w:val="auto"/>
          <w:highlight w:val="none"/>
          <w:lang w:eastAsia="zh-CN"/>
        </w:rPr>
        <w:t>4.45</w:t>
      </w:r>
      <w:r>
        <w:rPr>
          <w:rFonts w:hint="eastAsia"/>
          <w:color w:val="auto"/>
          <w:highlight w:val="none"/>
        </w:rPr>
        <w:t>hm</w:t>
      </w:r>
      <w:r>
        <w:rPr>
          <w:rFonts w:hint="eastAsia"/>
          <w:color w:val="auto"/>
          <w:highlight w:val="none"/>
          <w:vertAlign w:val="superscript"/>
        </w:rPr>
        <w:t>2</w:t>
      </w:r>
      <w:r>
        <w:rPr>
          <w:rFonts w:hint="eastAsia"/>
          <w:color w:val="auto"/>
          <w:highlight w:val="none"/>
        </w:rPr>
        <w:t>，较批复方案</w:t>
      </w:r>
      <w:r>
        <w:rPr>
          <w:rFonts w:hint="eastAsia"/>
          <w:color w:val="auto"/>
          <w:highlight w:val="none"/>
          <w:lang w:eastAsia="zh-CN"/>
        </w:rPr>
        <w:t>4.45</w:t>
      </w:r>
      <w:r>
        <w:rPr>
          <w:rFonts w:hint="eastAsia"/>
          <w:color w:val="auto"/>
          <w:highlight w:val="none"/>
        </w:rPr>
        <w:t>hm</w:t>
      </w:r>
      <w:r>
        <w:rPr>
          <w:rFonts w:hint="eastAsia"/>
          <w:color w:val="auto"/>
          <w:highlight w:val="none"/>
          <w:vertAlign w:val="superscript"/>
        </w:rPr>
        <w:t>2</w:t>
      </w:r>
      <w:r>
        <w:rPr>
          <w:rFonts w:hint="eastAsia"/>
          <w:color w:val="auto"/>
          <w:highlight w:val="none"/>
          <w:lang w:val="en-US" w:eastAsia="zh-CN"/>
        </w:rPr>
        <w:t>无变化</w:t>
      </w:r>
      <w:r>
        <w:rPr>
          <w:rFonts w:hint="eastAsia"/>
          <w:color w:val="auto"/>
          <w:highlight w:val="none"/>
        </w:rPr>
        <w:t>。</w:t>
      </w:r>
    </w:p>
    <w:p>
      <w:pPr>
        <w:ind w:firstLine="480"/>
        <w:rPr>
          <w:rFonts w:cs="Times New Roman"/>
          <w:color w:val="auto"/>
          <w:highlight w:val="none"/>
        </w:rPr>
      </w:pPr>
      <w:r>
        <w:rPr>
          <w:rFonts w:cs="Times New Roman"/>
          <w:color w:val="auto"/>
          <w:highlight w:val="none"/>
        </w:rPr>
        <w:t>各阶段水土流失防治责任范围对比表见3.1-4。</w:t>
      </w:r>
    </w:p>
    <w:p>
      <w:pPr>
        <w:pStyle w:val="15"/>
        <w:rPr>
          <w:color w:val="auto"/>
          <w:highlight w:val="none"/>
        </w:rPr>
      </w:pPr>
      <w:r>
        <w:rPr>
          <w:color w:val="auto"/>
          <w:highlight w:val="none"/>
        </w:rPr>
        <w:t>表3.1-4 各阶段水土流失防治责任范围对比表</w:t>
      </w:r>
      <w:r>
        <w:rPr>
          <w:rFonts w:hint="eastAsia"/>
          <w:color w:val="auto"/>
          <w:highlight w:val="none"/>
        </w:rPr>
        <w:t xml:space="preserve">      单位：hm</w:t>
      </w:r>
      <w:r>
        <w:rPr>
          <w:rFonts w:hint="eastAsia"/>
          <w:color w:val="auto"/>
          <w:highlight w:val="none"/>
          <w:vertAlign w:val="superscript"/>
        </w:rPr>
        <w:t>2</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374"/>
        <w:gridCol w:w="1276"/>
        <w:gridCol w:w="1125"/>
        <w:gridCol w:w="1786"/>
        <w:gridCol w:w="2011"/>
        <w:gridCol w:w="152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05" w:hRule="atLeast"/>
        </w:trPr>
        <w:tc>
          <w:tcPr>
            <w:tcW w:w="755"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bookmarkStart w:id="14" w:name="_Toc893"/>
            <w:r>
              <w:rPr>
                <w:rFonts w:hint="eastAsia"/>
                <w:color w:val="auto"/>
                <w:highlight w:val="none"/>
                <w:lang w:val="en-US" w:eastAsia="zh-CN"/>
              </w:rPr>
              <w:t>防治责任范围</w:t>
            </w:r>
          </w:p>
        </w:tc>
        <w:tc>
          <w:tcPr>
            <w:tcW w:w="70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原方案批复</w:t>
            </w:r>
          </w:p>
        </w:tc>
        <w:tc>
          <w:tcPr>
            <w:tcW w:w="61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验收阶段</w:t>
            </w:r>
          </w:p>
        </w:tc>
        <w:tc>
          <w:tcPr>
            <w:tcW w:w="98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验收后</w:t>
            </w:r>
          </w:p>
        </w:tc>
        <w:tc>
          <w:tcPr>
            <w:tcW w:w="1105"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变化量</w:t>
            </w:r>
          </w:p>
        </w:tc>
        <w:tc>
          <w:tcPr>
            <w:tcW w:w="8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变化原因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0" w:hRule="atLeast"/>
        </w:trPr>
        <w:tc>
          <w:tcPr>
            <w:tcW w:w="755" w:type="pct"/>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建构筑物区</w:t>
            </w:r>
          </w:p>
        </w:tc>
        <w:tc>
          <w:tcPr>
            <w:tcW w:w="70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2.77</w:t>
            </w:r>
          </w:p>
        </w:tc>
        <w:tc>
          <w:tcPr>
            <w:tcW w:w="618"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2.77</w:t>
            </w:r>
          </w:p>
        </w:tc>
        <w:tc>
          <w:tcPr>
            <w:tcW w:w="98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2.77</w:t>
            </w:r>
          </w:p>
        </w:tc>
        <w:tc>
          <w:tcPr>
            <w:tcW w:w="110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w:t>
            </w:r>
          </w:p>
        </w:tc>
        <w:tc>
          <w:tcPr>
            <w:tcW w:w="838"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5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道路及硬化工程</w:t>
            </w:r>
          </w:p>
        </w:tc>
        <w:tc>
          <w:tcPr>
            <w:tcW w:w="70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1.47</w:t>
            </w:r>
          </w:p>
        </w:tc>
        <w:tc>
          <w:tcPr>
            <w:tcW w:w="618"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1.47</w:t>
            </w:r>
          </w:p>
        </w:tc>
        <w:tc>
          <w:tcPr>
            <w:tcW w:w="98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1.47</w:t>
            </w:r>
          </w:p>
        </w:tc>
        <w:tc>
          <w:tcPr>
            <w:tcW w:w="110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w:t>
            </w:r>
          </w:p>
        </w:tc>
        <w:tc>
          <w:tcPr>
            <w:tcW w:w="838" w:type="pct"/>
            <w:vMerge w:val="continue"/>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5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绿化工程</w:t>
            </w:r>
          </w:p>
        </w:tc>
        <w:tc>
          <w:tcPr>
            <w:tcW w:w="70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0.21</w:t>
            </w:r>
          </w:p>
        </w:tc>
        <w:tc>
          <w:tcPr>
            <w:tcW w:w="618"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0.21</w:t>
            </w:r>
          </w:p>
        </w:tc>
        <w:tc>
          <w:tcPr>
            <w:tcW w:w="98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0.21</w:t>
            </w:r>
          </w:p>
        </w:tc>
        <w:tc>
          <w:tcPr>
            <w:tcW w:w="110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w:t>
            </w:r>
          </w:p>
        </w:tc>
        <w:tc>
          <w:tcPr>
            <w:tcW w:w="838" w:type="pct"/>
            <w:vMerge w:val="continue"/>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5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合计</w:t>
            </w:r>
          </w:p>
        </w:tc>
        <w:tc>
          <w:tcPr>
            <w:tcW w:w="70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4.45</w:t>
            </w:r>
          </w:p>
        </w:tc>
        <w:tc>
          <w:tcPr>
            <w:tcW w:w="618"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4.45</w:t>
            </w:r>
          </w:p>
        </w:tc>
        <w:tc>
          <w:tcPr>
            <w:tcW w:w="981"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4.45</w:t>
            </w:r>
          </w:p>
        </w:tc>
        <w:tc>
          <w:tcPr>
            <w:tcW w:w="1105"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0</w:t>
            </w:r>
          </w:p>
        </w:tc>
        <w:tc>
          <w:tcPr>
            <w:tcW w:w="838" w:type="pct"/>
            <w:vMerge w:val="continue"/>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p>
        </w:tc>
      </w:tr>
    </w:tbl>
    <w:p>
      <w:pPr>
        <w:pStyle w:val="3"/>
        <w:rPr>
          <w:rFonts w:cs="Times New Roman"/>
          <w:color w:val="auto"/>
          <w:highlight w:val="none"/>
        </w:rPr>
      </w:pPr>
      <w:r>
        <w:rPr>
          <w:rFonts w:cs="Times New Roman"/>
          <w:color w:val="auto"/>
          <w:highlight w:val="none"/>
        </w:rPr>
        <w:t>弃渣场设置</w:t>
      </w:r>
      <w:bookmarkEnd w:id="14"/>
    </w:p>
    <w:p>
      <w:pPr>
        <w:rPr>
          <w:rFonts w:hint="default" w:eastAsia="仿宋"/>
          <w:color w:val="auto"/>
          <w:highlight w:val="none"/>
          <w:lang w:val="en-US" w:eastAsia="zh-CN"/>
        </w:rPr>
      </w:pPr>
      <w:r>
        <w:rPr>
          <w:rFonts w:hint="eastAsia" w:cs="Times New Roman"/>
          <w:color w:val="auto"/>
          <w:highlight w:val="none"/>
          <w:lang w:val="en-US" w:eastAsia="zh-CN"/>
        </w:rPr>
        <w:t>本项目不涉及渣场。</w:t>
      </w:r>
    </w:p>
    <w:p>
      <w:pPr>
        <w:pStyle w:val="3"/>
        <w:rPr>
          <w:rFonts w:cs="Times New Roman"/>
          <w:color w:val="auto"/>
          <w:highlight w:val="none"/>
        </w:rPr>
      </w:pPr>
      <w:bookmarkStart w:id="15" w:name="_Toc16201"/>
      <w:r>
        <w:rPr>
          <w:rFonts w:cs="Times New Roman"/>
          <w:color w:val="auto"/>
          <w:highlight w:val="none"/>
        </w:rPr>
        <w:t>取土场设置</w:t>
      </w:r>
      <w:bookmarkEnd w:id="15"/>
    </w:p>
    <w:p>
      <w:pPr>
        <w:ind w:firstLine="480"/>
        <w:rPr>
          <w:rFonts w:cs="Times New Roman"/>
          <w:color w:val="auto"/>
          <w:highlight w:val="none"/>
        </w:rPr>
      </w:pPr>
      <w:r>
        <w:rPr>
          <w:rFonts w:hint="eastAsia" w:cs="Times New Roman"/>
          <w:color w:val="auto"/>
          <w:highlight w:val="none"/>
        </w:rPr>
        <w:t>本工程建设所需建筑材料均为外购，工程未设置取料场</w:t>
      </w:r>
      <w:r>
        <w:rPr>
          <w:rFonts w:cs="Times New Roman"/>
          <w:color w:val="auto"/>
          <w:highlight w:val="none"/>
        </w:rPr>
        <w:t>。</w:t>
      </w:r>
    </w:p>
    <w:p>
      <w:pPr>
        <w:pStyle w:val="3"/>
        <w:rPr>
          <w:rFonts w:cs="Times New Roman"/>
          <w:color w:val="auto"/>
          <w:highlight w:val="none"/>
        </w:rPr>
      </w:pPr>
      <w:bookmarkStart w:id="16" w:name="_Toc10256"/>
      <w:r>
        <w:rPr>
          <w:rFonts w:cs="Times New Roman"/>
          <w:color w:val="auto"/>
          <w:highlight w:val="none"/>
        </w:rPr>
        <w:t>水土保持措施总体布局</w:t>
      </w:r>
      <w:bookmarkEnd w:id="16"/>
    </w:p>
    <w:p>
      <w:pPr>
        <w:ind w:firstLine="480"/>
        <w:rPr>
          <w:rFonts w:cs="Times New Roman"/>
          <w:color w:val="auto"/>
          <w:highlight w:val="none"/>
        </w:rPr>
      </w:pPr>
      <w:r>
        <w:rPr>
          <w:rFonts w:cs="Times New Roman"/>
          <w:color w:val="auto"/>
          <w:highlight w:val="none"/>
        </w:rPr>
        <w:t>项目建设过程中，按照批复的《</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方案报告书》内容，水土保持措施以防治新的人为水土流失、改善区域生态环境为主要目标，按照分区防治的要求，实施综合治理。经查阅设计、施工档案及相关验收资料，并进行了实地调查，认为本工程水土流失防治措施总体布局符合工程建设特点。针对分区水土流失防治的需要，采取了工程措施、植物措施和临时措施相结合的方式防治水土流失，分区措施布局情况评价如下：</w:t>
      </w:r>
    </w:p>
    <w:p>
      <w:pPr>
        <w:ind w:firstLine="480"/>
        <w:rPr>
          <w:rFonts w:cs="Times New Roman"/>
          <w:color w:val="auto"/>
          <w:highlight w:val="none"/>
        </w:rPr>
      </w:pPr>
      <w:r>
        <w:rPr>
          <w:rFonts w:cs="Times New Roman"/>
          <w:color w:val="auto"/>
          <w:highlight w:val="none"/>
        </w:rPr>
        <w:t>水土保持措施布局见表3.4-1。</w:t>
      </w:r>
    </w:p>
    <w:p>
      <w:pPr>
        <w:pStyle w:val="15"/>
        <w:rPr>
          <w:color w:val="auto"/>
          <w:highlight w:val="none"/>
        </w:rPr>
      </w:pPr>
      <w:r>
        <w:rPr>
          <w:color w:val="auto"/>
          <w:highlight w:val="none"/>
        </w:rPr>
        <w:t>表3.4-1 水土保持措施布局</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251"/>
        <w:gridCol w:w="1047"/>
        <w:gridCol w:w="1623"/>
        <w:gridCol w:w="2640"/>
        <w:gridCol w:w="254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5" w:hRule="atLeast"/>
        </w:trPr>
        <w:tc>
          <w:tcPr>
            <w:tcW w:w="687" w:type="pct"/>
            <w:tcBorders>
              <w:tl2br w:val="nil"/>
              <w:tr2bl w:val="nil"/>
            </w:tcBorders>
            <w:shd w:val="clear" w:color="auto" w:fill="auto"/>
            <w:tcMar>
              <w:top w:w="15" w:type="dxa"/>
              <w:left w:w="15" w:type="dxa"/>
              <w:right w:w="15" w:type="dxa"/>
            </w:tcMar>
            <w:vAlign w:val="center"/>
          </w:tcPr>
          <w:p>
            <w:pPr>
              <w:pStyle w:val="16"/>
              <w:bidi w:val="0"/>
              <w:jc w:val="center"/>
              <w:rPr>
                <w:color w:val="auto"/>
                <w:highlight w:val="none"/>
              </w:rPr>
            </w:pPr>
            <w:r>
              <w:rPr>
                <w:rFonts w:hint="eastAsia"/>
                <w:color w:val="auto"/>
                <w:highlight w:val="none"/>
                <w:lang w:val="en-US" w:eastAsia="zh-CN"/>
              </w:rPr>
              <w:t>分区</w:t>
            </w:r>
          </w:p>
        </w:tc>
        <w:tc>
          <w:tcPr>
            <w:tcW w:w="57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措施类型</w:t>
            </w:r>
          </w:p>
        </w:tc>
        <w:tc>
          <w:tcPr>
            <w:tcW w:w="891"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方案设计</w:t>
            </w:r>
          </w:p>
        </w:tc>
        <w:tc>
          <w:tcPr>
            <w:tcW w:w="1450"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实际实施</w:t>
            </w:r>
          </w:p>
        </w:tc>
        <w:tc>
          <w:tcPr>
            <w:tcW w:w="1395"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0" w:hRule="atLeast"/>
        </w:trPr>
        <w:tc>
          <w:tcPr>
            <w:tcW w:w="687"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color w:val="auto"/>
                <w:highlight w:val="none"/>
              </w:rPr>
            </w:pPr>
            <w:r>
              <w:rPr>
                <w:rFonts w:hint="eastAsia"/>
                <w:color w:val="auto"/>
                <w:highlight w:val="none"/>
                <w:lang w:val="en-US" w:eastAsia="zh-CN"/>
              </w:rPr>
              <w:t>建构筑物防治区</w:t>
            </w:r>
          </w:p>
        </w:tc>
        <w:tc>
          <w:tcPr>
            <w:tcW w:w="575"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工程措施</w:t>
            </w: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表土剥离</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表土剥离</w:t>
            </w:r>
          </w:p>
        </w:tc>
        <w:tc>
          <w:tcPr>
            <w:tcW w:w="1395"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该区实施的水土保持措施按方案设计要求实施，布局合理。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临时措施</w:t>
            </w: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密目网遮盖及拆除</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密目网遮盖及拆除</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排水沟开挖</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排水沟开挖</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道路及硬化工程防治区</w:t>
            </w:r>
          </w:p>
        </w:tc>
        <w:tc>
          <w:tcPr>
            <w:tcW w:w="575"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工程措施</w:t>
            </w: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排水沟</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排水沟</w:t>
            </w:r>
          </w:p>
        </w:tc>
        <w:tc>
          <w:tcPr>
            <w:tcW w:w="1395"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该区实施的水土保持措施按方案设计要求实施，布局合理。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洗车槽</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洗车槽</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表土回覆</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表土回覆</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植物措施</w:t>
            </w: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植草砖</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植草砖</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临时措施</w:t>
            </w: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密目网遮盖及拆除</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密目网遮盖及拆除</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排水沟开挖</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排水沟开挖</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沉砂池开挖</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沉砂池开挖</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土袋挡墙及拆除</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土袋挡墙及拆除</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绿化防治区</w:t>
            </w:r>
          </w:p>
        </w:tc>
        <w:tc>
          <w:tcPr>
            <w:tcW w:w="575"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工程措施</w:t>
            </w: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表土回覆</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表土回覆</w:t>
            </w:r>
          </w:p>
        </w:tc>
        <w:tc>
          <w:tcPr>
            <w:tcW w:w="1395"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该区实施的水土保持措施按方案设计要求实施，布局合理。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植物措施</w:t>
            </w: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栽植乔木</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栽植乔木</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栽植灌木</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栽植灌木</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8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7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891"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直播种草</w:t>
            </w:r>
          </w:p>
        </w:tc>
        <w:tc>
          <w:tcPr>
            <w:tcW w:w="145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直播种草</w:t>
            </w:r>
          </w:p>
        </w:tc>
        <w:tc>
          <w:tcPr>
            <w:tcW w:w="1395"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r>
    </w:tbl>
    <w:p>
      <w:pPr>
        <w:ind w:firstLine="480"/>
        <w:rPr>
          <w:rFonts w:cs="Times New Roman"/>
          <w:color w:val="auto"/>
          <w:highlight w:val="none"/>
        </w:rPr>
      </w:pPr>
      <w:r>
        <w:rPr>
          <w:rFonts w:cs="Times New Roman"/>
          <w:color w:val="auto"/>
          <w:highlight w:val="none"/>
        </w:rPr>
        <w:t>综上所述，项目在建设过程中按照分区防治、因地制宜、因害设防、对位配置的原则，采取工程措施、植物措施和临时措施相结合进行水土保持措施布局。建设单位充分考虑到项目区自然环境，优化了施工工艺，减少了扰动地表面积，有效的控制了因工程施工造成的新增水土流失，合理保护和充分利用土地资源。各项措施针对性较强，基本达到了保护水土资源、控制工程建设人为水土流失的目的，水土保持措施布局较为合理。</w:t>
      </w:r>
    </w:p>
    <w:p>
      <w:pPr>
        <w:pStyle w:val="3"/>
        <w:rPr>
          <w:rFonts w:cs="Times New Roman"/>
          <w:color w:val="auto"/>
          <w:highlight w:val="none"/>
        </w:rPr>
      </w:pPr>
      <w:bookmarkStart w:id="17" w:name="_Toc29418"/>
      <w:r>
        <w:rPr>
          <w:rFonts w:cs="Times New Roman"/>
          <w:color w:val="auto"/>
          <w:highlight w:val="none"/>
        </w:rPr>
        <w:t>水土保持设施完成情况</w:t>
      </w:r>
      <w:bookmarkEnd w:id="17"/>
    </w:p>
    <w:p>
      <w:pPr>
        <w:ind w:firstLine="480"/>
        <w:rPr>
          <w:rFonts w:cs="Times New Roman"/>
          <w:color w:val="auto"/>
          <w:highlight w:val="none"/>
        </w:rPr>
      </w:pPr>
      <w:r>
        <w:rPr>
          <w:rFonts w:cs="Times New Roman"/>
          <w:color w:val="auto"/>
          <w:highlight w:val="none"/>
        </w:rPr>
        <w:t>为了做好本项目水土保持工程的建设工作，</w:t>
      </w:r>
      <w:r>
        <w:rPr>
          <w:rFonts w:hint="eastAsia" w:cs="Times New Roman"/>
          <w:color w:val="auto"/>
          <w:highlight w:val="none"/>
          <w:lang w:eastAsia="zh-CN"/>
        </w:rPr>
        <w:t>成都润嘉汽车部件有限公司</w:t>
      </w:r>
      <w:r>
        <w:rPr>
          <w:rFonts w:cs="Times New Roman"/>
          <w:color w:val="auto"/>
          <w:highlight w:val="none"/>
        </w:rPr>
        <w:t>将水土保持工程的施工、施工材料采购和供应等纳入了主体工程管理程序中。在依法实施招标、评标工作的基础上，选择具有相应资质的监理单位、施工队伍及材料供应商。工程监理单位是具有丰富监理经验、监理业绩优良、监理信誉良好的专业咨询机构。施工单位亦是具有相应资质、技术过硬、信誉良好、实力雄厚的大中型企业，自身的质量保证体系较为完善。</w:t>
      </w:r>
    </w:p>
    <w:p>
      <w:pPr>
        <w:pStyle w:val="4"/>
        <w:rPr>
          <w:rFonts w:cs="Times New Roman"/>
          <w:color w:val="auto"/>
          <w:highlight w:val="none"/>
        </w:rPr>
      </w:pPr>
      <w:r>
        <w:rPr>
          <w:rFonts w:cs="Times New Roman"/>
          <w:color w:val="auto"/>
          <w:highlight w:val="none"/>
        </w:rPr>
        <w:t>资料核查</w:t>
      </w:r>
    </w:p>
    <w:p>
      <w:pPr>
        <w:ind w:firstLine="480"/>
        <w:rPr>
          <w:rFonts w:cs="Times New Roman"/>
          <w:color w:val="auto"/>
          <w:highlight w:val="none"/>
        </w:rPr>
      </w:pPr>
      <w:r>
        <w:rPr>
          <w:rFonts w:cs="Times New Roman"/>
          <w:color w:val="auto"/>
          <w:highlight w:val="none"/>
        </w:rPr>
        <w:t>本工程水土保持设施验收时核查了以下资料：可研报告审查意见及批复文件、初步设计报告及批复、水土保持方案报告书及批复文件、征占地文件、水土保持监测</w:t>
      </w:r>
      <w:r>
        <w:rPr>
          <w:rFonts w:hint="eastAsia" w:cs="Times New Roman"/>
          <w:color w:val="auto"/>
          <w:highlight w:val="none"/>
        </w:rPr>
        <w:t>总结报告</w:t>
      </w:r>
      <w:r>
        <w:rPr>
          <w:rFonts w:cs="Times New Roman"/>
          <w:color w:val="auto"/>
          <w:highlight w:val="none"/>
        </w:rPr>
        <w:t>、工程验收相关资料、工程管理资料、水土保持补偿费缴纳凭证、其他电子文件、照片、影像资料等。</w:t>
      </w:r>
    </w:p>
    <w:p>
      <w:pPr>
        <w:pStyle w:val="4"/>
        <w:rPr>
          <w:rFonts w:cs="Times New Roman"/>
          <w:color w:val="auto"/>
          <w:highlight w:val="none"/>
        </w:rPr>
      </w:pPr>
      <w:r>
        <w:rPr>
          <w:rFonts w:cs="Times New Roman"/>
          <w:color w:val="auto"/>
          <w:highlight w:val="none"/>
        </w:rPr>
        <w:t>现场实地核查</w:t>
      </w:r>
    </w:p>
    <w:p>
      <w:pPr>
        <w:ind w:firstLine="480"/>
        <w:rPr>
          <w:rFonts w:cs="Times New Roman"/>
          <w:color w:val="auto"/>
          <w:highlight w:val="none"/>
        </w:rPr>
      </w:pPr>
      <w:r>
        <w:rPr>
          <w:rFonts w:cs="Times New Roman"/>
          <w:color w:val="auto"/>
          <w:highlight w:val="none"/>
        </w:rPr>
        <w:t>在资料整理分析的基础上对各防治区进行了实地调查、测量、核实实施的水土保持设施。</w:t>
      </w:r>
    </w:p>
    <w:p>
      <w:pPr>
        <w:pStyle w:val="4"/>
        <w:rPr>
          <w:rFonts w:cs="Times New Roman"/>
          <w:color w:val="auto"/>
          <w:highlight w:val="none"/>
        </w:rPr>
      </w:pPr>
      <w:r>
        <w:rPr>
          <w:rFonts w:cs="Times New Roman"/>
          <w:color w:val="auto"/>
          <w:highlight w:val="none"/>
        </w:rPr>
        <w:t>水土保持工程措施完成情况</w:t>
      </w:r>
    </w:p>
    <w:p>
      <w:pPr>
        <w:ind w:firstLine="480"/>
        <w:rPr>
          <w:rFonts w:cs="Times New Roman"/>
          <w:color w:val="auto"/>
          <w:highlight w:val="none"/>
        </w:rPr>
      </w:pPr>
      <w:r>
        <w:rPr>
          <w:rFonts w:cs="Times New Roman"/>
          <w:color w:val="auto"/>
          <w:highlight w:val="none"/>
        </w:rPr>
        <w:t>水土保持工程措施实施范围</w:t>
      </w:r>
      <w:r>
        <w:rPr>
          <w:rFonts w:hint="eastAsia" w:cs="Times New Roman"/>
          <w:color w:val="auto"/>
          <w:highlight w:val="none"/>
        </w:rPr>
        <w:t>为</w:t>
      </w:r>
      <w:r>
        <w:rPr>
          <w:rFonts w:hint="eastAsia" w:cs="Times New Roman"/>
          <w:color w:val="auto"/>
          <w:highlight w:val="none"/>
          <w:lang w:eastAsia="zh-CN"/>
        </w:rPr>
        <w:t>建构筑物防治区</w:t>
      </w:r>
      <w:r>
        <w:rPr>
          <w:rFonts w:hint="eastAsia" w:cs="Times New Roman"/>
          <w:color w:val="auto"/>
          <w:highlight w:val="none"/>
        </w:rPr>
        <w:t>、</w:t>
      </w:r>
      <w:r>
        <w:rPr>
          <w:rFonts w:hint="eastAsia" w:cs="Times New Roman"/>
          <w:color w:val="auto"/>
          <w:highlight w:val="none"/>
          <w:lang w:eastAsia="zh-CN"/>
        </w:rPr>
        <w:t>道路及硬化工程防治区</w:t>
      </w:r>
      <w:r>
        <w:rPr>
          <w:rFonts w:hint="eastAsia" w:cs="Times New Roman"/>
          <w:color w:val="auto"/>
          <w:highlight w:val="none"/>
        </w:rPr>
        <w:t>和</w:t>
      </w:r>
      <w:r>
        <w:rPr>
          <w:rFonts w:hint="eastAsia" w:cs="Times New Roman"/>
          <w:color w:val="auto"/>
          <w:highlight w:val="none"/>
          <w:lang w:eastAsia="zh-CN"/>
        </w:rPr>
        <w:t>绿化防治区</w:t>
      </w:r>
      <w:r>
        <w:rPr>
          <w:rFonts w:cs="Times New Roman"/>
          <w:color w:val="auto"/>
          <w:highlight w:val="none"/>
        </w:rPr>
        <w:t>。</w:t>
      </w:r>
    </w:p>
    <w:p>
      <w:pPr>
        <w:pStyle w:val="5"/>
        <w:rPr>
          <w:rFonts w:cs="Times New Roman"/>
          <w:color w:val="auto"/>
          <w:highlight w:val="none"/>
        </w:rPr>
      </w:pPr>
      <w:r>
        <w:rPr>
          <w:rFonts w:cs="Times New Roman"/>
          <w:color w:val="auto"/>
          <w:highlight w:val="none"/>
        </w:rPr>
        <w:t>实施情况及完成工程量</w:t>
      </w:r>
    </w:p>
    <w:p>
      <w:pPr>
        <w:numPr>
          <w:ilvl w:val="0"/>
          <w:numId w:val="9"/>
        </w:numPr>
        <w:ind w:left="0" w:firstLine="480"/>
        <w:rPr>
          <w:rFonts w:cs="Times New Roman"/>
          <w:color w:val="auto"/>
          <w:highlight w:val="none"/>
        </w:rPr>
      </w:pPr>
      <w:r>
        <w:rPr>
          <w:rFonts w:hint="eastAsia" w:cs="Times New Roman"/>
          <w:color w:val="auto"/>
          <w:highlight w:val="none"/>
          <w:lang w:eastAsia="zh-CN"/>
        </w:rPr>
        <w:t>建构筑物防治区</w:t>
      </w:r>
    </w:p>
    <w:p>
      <w:pPr>
        <w:ind w:firstLine="480"/>
        <w:rPr>
          <w:color w:val="auto"/>
          <w:highlight w:val="none"/>
        </w:rPr>
      </w:pPr>
      <w:r>
        <w:rPr>
          <w:color w:val="auto"/>
          <w:highlight w:val="none"/>
        </w:rPr>
        <w:t>通过查阅施工过程、主体监理相关资料及结合现场情况，</w:t>
      </w:r>
      <w:r>
        <w:rPr>
          <w:rFonts w:hint="eastAsia"/>
          <w:color w:val="auto"/>
          <w:highlight w:val="none"/>
          <w:lang w:eastAsia="zh-CN"/>
        </w:rPr>
        <w:t>建构筑物防治</w:t>
      </w:r>
      <w:r>
        <w:rPr>
          <w:rFonts w:hint="eastAsia"/>
          <w:color w:val="auto"/>
          <w:highlight w:val="none"/>
        </w:rPr>
        <w:t>区水土保持工程措施实施情况见表3.5-1</w:t>
      </w:r>
      <w:r>
        <w:rPr>
          <w:color w:val="auto"/>
          <w:highlight w:val="none"/>
        </w:rPr>
        <w:t>。</w:t>
      </w:r>
    </w:p>
    <w:p>
      <w:pPr>
        <w:pStyle w:val="15"/>
        <w:rPr>
          <w:rFonts w:cs="Times New Roman"/>
          <w:color w:val="auto"/>
          <w:highlight w:val="none"/>
        </w:rPr>
      </w:pPr>
      <w:r>
        <w:rPr>
          <w:rFonts w:cs="Times New Roman"/>
          <w:color w:val="auto"/>
          <w:highlight w:val="none"/>
        </w:rPr>
        <w:t xml:space="preserve">表3.5-1 </w:t>
      </w:r>
      <w:r>
        <w:rPr>
          <w:rFonts w:hint="eastAsia" w:cs="Times New Roman"/>
          <w:color w:val="auto"/>
          <w:highlight w:val="none"/>
          <w:lang w:eastAsia="zh-CN"/>
        </w:rPr>
        <w:t>建构筑物防治区</w:t>
      </w:r>
      <w:r>
        <w:rPr>
          <w:rFonts w:cs="Times New Roman"/>
          <w:color w:val="auto"/>
          <w:highlight w:val="none"/>
        </w:rPr>
        <w:t>水土保持工程措施实施情况及工程量</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831"/>
        <w:gridCol w:w="2619"/>
        <w:gridCol w:w="1678"/>
        <w:gridCol w:w="196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556"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防治分区</w:t>
            </w:r>
          </w:p>
        </w:tc>
        <w:tc>
          <w:tcPr>
            <w:tcW w:w="143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具体措施</w:t>
            </w:r>
          </w:p>
        </w:tc>
        <w:tc>
          <w:tcPr>
            <w:tcW w:w="92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单位</w:t>
            </w:r>
          </w:p>
        </w:tc>
        <w:tc>
          <w:tcPr>
            <w:tcW w:w="108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实际完成工程量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556"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143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表土剥离</w:t>
            </w:r>
          </w:p>
        </w:tc>
        <w:tc>
          <w:tcPr>
            <w:tcW w:w="922"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m³</w:t>
            </w:r>
          </w:p>
        </w:tc>
        <w:tc>
          <w:tcPr>
            <w:tcW w:w="1082" w:type="pct"/>
            <w:tcBorders>
              <w:tl2br w:val="nil"/>
              <w:tr2bl w:val="nil"/>
            </w:tcBorders>
            <w:shd w:val="clear" w:color="auto" w:fill="auto"/>
            <w:noWrap/>
            <w:tcMar>
              <w:top w:w="15" w:type="dxa"/>
              <w:left w:w="15" w:type="dxa"/>
              <w:right w:w="15" w:type="dxa"/>
            </w:tcMar>
            <w:vAlign w:val="center"/>
          </w:tcPr>
          <w:p>
            <w:pPr>
              <w:pStyle w:val="16"/>
              <w:rPr>
                <w:rFonts w:hint="default" w:eastAsia="仿宋"/>
                <w:color w:val="auto"/>
                <w:highlight w:val="none"/>
                <w:lang w:val="en-US" w:eastAsia="zh-CN"/>
              </w:rPr>
            </w:pPr>
            <w:r>
              <w:rPr>
                <w:rFonts w:hint="eastAsia"/>
                <w:color w:val="auto"/>
                <w:highlight w:val="none"/>
                <w:lang w:val="en-US" w:eastAsia="zh-CN"/>
              </w:rPr>
              <w:t>900</w:t>
            </w:r>
          </w:p>
        </w:tc>
      </w:tr>
    </w:tbl>
    <w:p>
      <w:pPr>
        <w:numPr>
          <w:ilvl w:val="0"/>
          <w:numId w:val="9"/>
        </w:numPr>
        <w:ind w:left="0" w:firstLine="480"/>
        <w:rPr>
          <w:rFonts w:cs="Times New Roman"/>
          <w:color w:val="auto"/>
          <w:highlight w:val="none"/>
        </w:rPr>
      </w:pPr>
      <w:r>
        <w:rPr>
          <w:rFonts w:hint="eastAsia" w:cs="Times New Roman"/>
          <w:color w:val="auto"/>
          <w:highlight w:val="none"/>
          <w:lang w:eastAsia="zh-CN"/>
        </w:rPr>
        <w:t>道路及硬化工程防治区</w:t>
      </w:r>
    </w:p>
    <w:p>
      <w:pPr>
        <w:ind w:firstLine="480"/>
        <w:rPr>
          <w:rFonts w:cs="Times New Roman"/>
          <w:color w:val="auto"/>
          <w:sz w:val="28"/>
          <w:szCs w:val="28"/>
          <w:highlight w:val="none"/>
        </w:rPr>
      </w:pPr>
      <w:r>
        <w:rPr>
          <w:rFonts w:cs="Times New Roman"/>
          <w:color w:val="auto"/>
          <w:highlight w:val="none"/>
        </w:rPr>
        <w:t>通过现场查勘及收集的水土保持监测、监理、设计、施工、竣工等资料分析，</w:t>
      </w:r>
      <w:r>
        <w:rPr>
          <w:rFonts w:hint="eastAsia" w:cs="Times New Roman"/>
          <w:color w:val="auto"/>
          <w:highlight w:val="none"/>
          <w:lang w:eastAsia="zh-CN"/>
        </w:rPr>
        <w:t>道路及硬化工程防治区</w:t>
      </w:r>
      <w:r>
        <w:rPr>
          <w:rFonts w:cs="Times New Roman"/>
          <w:color w:val="auto"/>
          <w:highlight w:val="none"/>
        </w:rPr>
        <w:t>进行</w:t>
      </w:r>
      <w:r>
        <w:rPr>
          <w:rFonts w:hint="eastAsia" w:cs="Times New Roman"/>
          <w:color w:val="auto"/>
          <w:highlight w:val="none"/>
        </w:rPr>
        <w:t>表土</w:t>
      </w:r>
      <w:r>
        <w:rPr>
          <w:rFonts w:cs="Times New Roman"/>
          <w:color w:val="auto"/>
          <w:highlight w:val="none"/>
        </w:rPr>
        <w:t>回铺</w:t>
      </w:r>
      <w:r>
        <w:rPr>
          <w:rFonts w:hint="eastAsia" w:cs="Times New Roman"/>
          <w:color w:val="auto"/>
          <w:highlight w:val="none"/>
          <w:lang w:eastAsia="zh-CN"/>
        </w:rPr>
        <w:t>、</w:t>
      </w:r>
      <w:r>
        <w:rPr>
          <w:rFonts w:hint="eastAsia" w:cs="Times New Roman"/>
          <w:color w:val="auto"/>
          <w:highlight w:val="none"/>
          <w:lang w:val="en-US" w:eastAsia="zh-CN"/>
        </w:rPr>
        <w:t>洗车槽、排水沟</w:t>
      </w:r>
      <w:r>
        <w:rPr>
          <w:rFonts w:cs="Times New Roman"/>
          <w:color w:val="auto"/>
          <w:highlight w:val="none"/>
        </w:rPr>
        <w:t>等工程措施，</w:t>
      </w:r>
      <w:r>
        <w:rPr>
          <w:rFonts w:hint="eastAsia"/>
          <w:color w:val="auto"/>
          <w:highlight w:val="none"/>
        </w:rPr>
        <w:t>水土保持工程措施实施情况见表3.5-2</w:t>
      </w:r>
      <w:r>
        <w:rPr>
          <w:rFonts w:cs="Times New Roman"/>
          <w:color w:val="auto"/>
          <w:sz w:val="28"/>
          <w:szCs w:val="28"/>
          <w:highlight w:val="none"/>
        </w:rPr>
        <w:t>。</w:t>
      </w:r>
    </w:p>
    <w:p>
      <w:pPr>
        <w:ind w:firstLine="480"/>
        <w:rPr>
          <w:rFonts w:cs="Times New Roman"/>
          <w:color w:val="auto"/>
          <w:sz w:val="28"/>
          <w:szCs w:val="28"/>
          <w:highlight w:val="none"/>
        </w:rPr>
      </w:pPr>
    </w:p>
    <w:p>
      <w:pPr>
        <w:ind w:firstLine="480"/>
        <w:rPr>
          <w:rFonts w:hint="eastAsia" w:cs="Times New Roman"/>
          <w:color w:val="auto"/>
          <w:sz w:val="28"/>
          <w:szCs w:val="28"/>
          <w:highlight w:val="none"/>
          <w:lang w:eastAsia="zh-CN"/>
        </w:rPr>
      </w:pPr>
    </w:p>
    <w:p>
      <w:pPr>
        <w:pStyle w:val="15"/>
        <w:rPr>
          <w:rFonts w:cs="Times New Roman"/>
          <w:color w:val="auto"/>
          <w:highlight w:val="none"/>
        </w:rPr>
      </w:pPr>
      <w:r>
        <w:rPr>
          <w:rFonts w:cs="Times New Roman"/>
          <w:color w:val="auto"/>
          <w:highlight w:val="none"/>
        </w:rPr>
        <w:t xml:space="preserve">表3.5-2 </w:t>
      </w:r>
      <w:r>
        <w:rPr>
          <w:rFonts w:hint="eastAsia" w:cs="Times New Roman"/>
          <w:color w:val="auto"/>
          <w:highlight w:val="none"/>
          <w:lang w:eastAsia="zh-CN"/>
        </w:rPr>
        <w:t>道路及硬化工程防治区</w:t>
      </w:r>
      <w:r>
        <w:rPr>
          <w:rFonts w:cs="Times New Roman"/>
          <w:color w:val="auto"/>
          <w:highlight w:val="none"/>
        </w:rPr>
        <w:t>水土保持工程措施实施情况及工程量</w:t>
      </w:r>
    </w:p>
    <w:tbl>
      <w:tblPr>
        <w:tblStyle w:val="11"/>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832"/>
        <w:gridCol w:w="2619"/>
        <w:gridCol w:w="1678"/>
        <w:gridCol w:w="196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556"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防治分区</w:t>
            </w:r>
          </w:p>
        </w:tc>
        <w:tc>
          <w:tcPr>
            <w:tcW w:w="143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具体措施</w:t>
            </w:r>
          </w:p>
        </w:tc>
        <w:tc>
          <w:tcPr>
            <w:tcW w:w="92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单位</w:t>
            </w:r>
          </w:p>
        </w:tc>
        <w:tc>
          <w:tcPr>
            <w:tcW w:w="108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实际完成工程量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556" w:type="pct"/>
            <w:vMerge w:val="restar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2619"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排水沟</w:t>
            </w:r>
          </w:p>
        </w:tc>
        <w:tc>
          <w:tcPr>
            <w:tcW w:w="1678"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m</w:t>
            </w:r>
          </w:p>
        </w:tc>
        <w:tc>
          <w:tcPr>
            <w:tcW w:w="1969"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660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556" w:type="pct"/>
            <w:vMerge w:val="continue"/>
            <w:tcBorders>
              <w:tl2br w:val="nil"/>
              <w:tr2bl w:val="nil"/>
            </w:tcBorders>
            <w:shd w:val="clear" w:color="auto" w:fill="auto"/>
            <w:noWrap/>
            <w:tcMar>
              <w:top w:w="15" w:type="dxa"/>
              <w:left w:w="15" w:type="dxa"/>
              <w:right w:w="15" w:type="dxa"/>
            </w:tcMar>
            <w:vAlign w:val="center"/>
          </w:tcPr>
          <w:p>
            <w:pPr>
              <w:pStyle w:val="16"/>
              <w:rPr>
                <w:color w:val="auto"/>
                <w:highlight w:val="none"/>
              </w:rPr>
            </w:pPr>
          </w:p>
        </w:tc>
        <w:tc>
          <w:tcPr>
            <w:tcW w:w="2619"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洗车槽</w:t>
            </w:r>
          </w:p>
        </w:tc>
        <w:tc>
          <w:tcPr>
            <w:tcW w:w="1678"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个</w:t>
            </w:r>
          </w:p>
        </w:tc>
        <w:tc>
          <w:tcPr>
            <w:tcW w:w="1969"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556" w:type="pct"/>
            <w:vMerge w:val="continue"/>
            <w:tcBorders>
              <w:tl2br w:val="nil"/>
              <w:tr2bl w:val="nil"/>
            </w:tcBorders>
            <w:shd w:val="clear" w:color="auto" w:fill="auto"/>
            <w:noWrap/>
            <w:tcMar>
              <w:top w:w="15" w:type="dxa"/>
              <w:left w:w="15" w:type="dxa"/>
              <w:right w:w="15" w:type="dxa"/>
            </w:tcMar>
            <w:vAlign w:val="center"/>
          </w:tcPr>
          <w:p>
            <w:pPr>
              <w:pStyle w:val="16"/>
              <w:rPr>
                <w:color w:val="auto"/>
                <w:highlight w:val="none"/>
              </w:rPr>
            </w:pPr>
          </w:p>
        </w:tc>
        <w:tc>
          <w:tcPr>
            <w:tcW w:w="2619"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表土回覆</w:t>
            </w:r>
          </w:p>
        </w:tc>
        <w:tc>
          <w:tcPr>
            <w:tcW w:w="1678"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1969" w:type="dxa"/>
            <w:tcBorders>
              <w:tl2br w:val="nil"/>
              <w:tr2bl w:val="nil"/>
            </w:tcBorders>
            <w:shd w:val="clear" w:color="auto" w:fill="auto"/>
            <w:noWrap/>
            <w:tcMar>
              <w:top w:w="15" w:type="dxa"/>
              <w:left w:w="15" w:type="dxa"/>
              <w:right w:w="15" w:type="dxa"/>
            </w:tcMar>
            <w:vAlign w:val="bottom"/>
          </w:tcPr>
          <w:p>
            <w:pPr>
              <w:pStyle w:val="16"/>
              <w:bidi w:val="0"/>
              <w:rPr>
                <w:color w:val="auto"/>
                <w:highlight w:val="none"/>
              </w:rPr>
            </w:pPr>
            <w:r>
              <w:rPr>
                <w:rFonts w:hint="eastAsia"/>
                <w:color w:val="auto"/>
                <w:highlight w:val="none"/>
                <w:lang w:val="en-US" w:eastAsia="zh-CN"/>
              </w:rPr>
              <w:t>300</w:t>
            </w:r>
          </w:p>
        </w:tc>
      </w:tr>
    </w:tbl>
    <w:p>
      <w:pPr>
        <w:numPr>
          <w:ilvl w:val="0"/>
          <w:numId w:val="9"/>
        </w:numPr>
        <w:ind w:left="0" w:firstLine="480"/>
        <w:rPr>
          <w:rFonts w:cs="Times New Roman"/>
          <w:color w:val="auto"/>
          <w:highlight w:val="none"/>
        </w:rPr>
      </w:pPr>
      <w:r>
        <w:rPr>
          <w:rFonts w:hint="eastAsia" w:cs="Times New Roman"/>
          <w:color w:val="auto"/>
          <w:highlight w:val="none"/>
          <w:lang w:eastAsia="zh-CN"/>
        </w:rPr>
        <w:t>绿化防治区</w:t>
      </w:r>
    </w:p>
    <w:p>
      <w:pPr>
        <w:ind w:firstLine="480"/>
        <w:rPr>
          <w:rFonts w:cs="Times New Roman"/>
          <w:color w:val="auto"/>
          <w:sz w:val="28"/>
          <w:szCs w:val="28"/>
          <w:highlight w:val="none"/>
        </w:rPr>
      </w:pPr>
      <w:r>
        <w:rPr>
          <w:rFonts w:cs="Times New Roman"/>
          <w:color w:val="auto"/>
          <w:highlight w:val="none"/>
        </w:rPr>
        <w:t>通过现场查勘及收集的水土保持监测、监理、设计、施工、竣工等资料分析，</w:t>
      </w:r>
      <w:r>
        <w:rPr>
          <w:rFonts w:hint="eastAsia" w:cs="Times New Roman"/>
          <w:color w:val="auto"/>
          <w:highlight w:val="none"/>
          <w:lang w:eastAsia="zh-CN"/>
        </w:rPr>
        <w:t>绿化防治区</w:t>
      </w:r>
      <w:r>
        <w:rPr>
          <w:rFonts w:hint="eastAsia"/>
          <w:color w:val="auto"/>
          <w:highlight w:val="none"/>
        </w:rPr>
        <w:t>水土保持工程措施实施情况见表3.5-2</w:t>
      </w:r>
      <w:r>
        <w:rPr>
          <w:rFonts w:cs="Times New Roman"/>
          <w:color w:val="auto"/>
          <w:sz w:val="28"/>
          <w:szCs w:val="28"/>
          <w:highlight w:val="none"/>
        </w:rPr>
        <w:t>。</w:t>
      </w:r>
    </w:p>
    <w:p>
      <w:pPr>
        <w:pStyle w:val="15"/>
        <w:rPr>
          <w:rFonts w:cs="Times New Roman"/>
          <w:color w:val="auto"/>
          <w:highlight w:val="none"/>
        </w:rPr>
      </w:pPr>
      <w:r>
        <w:rPr>
          <w:rFonts w:cs="Times New Roman"/>
          <w:color w:val="auto"/>
          <w:highlight w:val="none"/>
        </w:rPr>
        <w:t>表3.5-</w:t>
      </w:r>
      <w:r>
        <w:rPr>
          <w:rFonts w:hint="eastAsia" w:cs="Times New Roman"/>
          <w:color w:val="auto"/>
          <w:highlight w:val="none"/>
        </w:rPr>
        <w:t>3</w:t>
      </w:r>
      <w:r>
        <w:rPr>
          <w:rFonts w:cs="Times New Roman"/>
          <w:color w:val="auto"/>
          <w:highlight w:val="none"/>
        </w:rPr>
        <w:t xml:space="preserve"> </w:t>
      </w:r>
      <w:r>
        <w:rPr>
          <w:rFonts w:hint="eastAsia" w:cs="Times New Roman"/>
          <w:color w:val="auto"/>
          <w:highlight w:val="none"/>
          <w:lang w:eastAsia="zh-CN"/>
        </w:rPr>
        <w:t>绿化防治区</w:t>
      </w:r>
      <w:r>
        <w:rPr>
          <w:rFonts w:cs="Times New Roman"/>
          <w:color w:val="auto"/>
          <w:highlight w:val="none"/>
        </w:rPr>
        <w:t>水土保持工程措施实施情况及工程量</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619"/>
        <w:gridCol w:w="2987"/>
        <w:gridCol w:w="1423"/>
        <w:gridCol w:w="206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43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防治分区</w:t>
            </w:r>
          </w:p>
        </w:tc>
        <w:tc>
          <w:tcPr>
            <w:tcW w:w="1641"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具体措施</w:t>
            </w:r>
          </w:p>
        </w:tc>
        <w:tc>
          <w:tcPr>
            <w:tcW w:w="78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单位</w:t>
            </w:r>
          </w:p>
        </w:tc>
        <w:tc>
          <w:tcPr>
            <w:tcW w:w="1136"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实际完成工程量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43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1641"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表土回覆</w:t>
            </w:r>
          </w:p>
        </w:tc>
        <w:tc>
          <w:tcPr>
            <w:tcW w:w="782"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m³</w:t>
            </w:r>
          </w:p>
        </w:tc>
        <w:tc>
          <w:tcPr>
            <w:tcW w:w="1136" w:type="pct"/>
            <w:tcBorders>
              <w:tl2br w:val="nil"/>
              <w:tr2bl w:val="nil"/>
            </w:tcBorders>
            <w:shd w:val="clear" w:color="auto" w:fill="auto"/>
            <w:noWrap/>
            <w:tcMar>
              <w:top w:w="15" w:type="dxa"/>
              <w:left w:w="15" w:type="dxa"/>
              <w:right w:w="15" w:type="dxa"/>
            </w:tcMar>
            <w:vAlign w:val="bottom"/>
          </w:tcPr>
          <w:p>
            <w:pPr>
              <w:pStyle w:val="16"/>
              <w:bidi w:val="0"/>
              <w:rPr>
                <w:color w:val="auto"/>
                <w:highlight w:val="none"/>
                <w:lang w:val="en-US" w:eastAsia="zh-CN"/>
              </w:rPr>
            </w:pPr>
            <w:r>
              <w:rPr>
                <w:rFonts w:hint="eastAsia"/>
                <w:color w:val="auto"/>
                <w:highlight w:val="none"/>
                <w:lang w:val="en-US" w:eastAsia="zh-CN"/>
              </w:rPr>
              <w:t>600</w:t>
            </w:r>
          </w:p>
        </w:tc>
      </w:tr>
    </w:tbl>
    <w:p>
      <w:pPr>
        <w:pStyle w:val="5"/>
        <w:rPr>
          <w:rFonts w:cs="Times New Roman"/>
          <w:color w:val="auto"/>
          <w:highlight w:val="none"/>
        </w:rPr>
      </w:pPr>
      <w:r>
        <w:rPr>
          <w:rFonts w:cs="Times New Roman"/>
          <w:color w:val="auto"/>
          <w:highlight w:val="none"/>
        </w:rPr>
        <w:t>水土保持工程措施实施进度</w:t>
      </w:r>
    </w:p>
    <w:p>
      <w:pPr>
        <w:ind w:firstLine="480"/>
        <w:rPr>
          <w:rFonts w:cs="Times New Roman"/>
          <w:color w:val="auto"/>
          <w:highlight w:val="none"/>
        </w:rPr>
      </w:pPr>
      <w:r>
        <w:rPr>
          <w:rFonts w:cs="Times New Roman"/>
          <w:color w:val="auto"/>
          <w:highlight w:val="none"/>
        </w:rPr>
        <w:t>项目</w:t>
      </w:r>
      <w:r>
        <w:rPr>
          <w:rFonts w:hint="eastAsia" w:cs="Times New Roman"/>
          <w:color w:val="auto"/>
          <w:highlight w:val="none"/>
        </w:rPr>
        <w:t>主体工程</w:t>
      </w:r>
      <w:r>
        <w:rPr>
          <w:rFonts w:cs="Times New Roman"/>
          <w:color w:val="auto"/>
          <w:highlight w:val="none"/>
        </w:rPr>
        <w:t>已于</w:t>
      </w:r>
      <w:r>
        <w:rPr>
          <w:rFonts w:hint="eastAsia" w:cs="Times New Roman"/>
          <w:color w:val="auto"/>
          <w:highlight w:val="none"/>
          <w:lang w:eastAsia="zh-CN"/>
        </w:rPr>
        <w:t>2016年9月</w:t>
      </w:r>
      <w:r>
        <w:rPr>
          <w:rFonts w:cs="Times New Roman"/>
          <w:color w:val="auto"/>
          <w:highlight w:val="none"/>
        </w:rPr>
        <w:t>开工，</w:t>
      </w:r>
      <w:r>
        <w:rPr>
          <w:rFonts w:hint="eastAsia" w:cs="Times New Roman"/>
          <w:color w:val="auto"/>
          <w:highlight w:val="none"/>
        </w:rPr>
        <w:t>于</w:t>
      </w:r>
      <w:r>
        <w:rPr>
          <w:rFonts w:hint="eastAsia" w:cs="Times New Roman"/>
          <w:color w:val="auto"/>
          <w:highlight w:val="none"/>
          <w:lang w:eastAsia="zh-CN"/>
        </w:rPr>
        <w:t>2017年9月</w:t>
      </w:r>
      <w:r>
        <w:rPr>
          <w:rFonts w:cs="Times New Roman"/>
          <w:color w:val="auto"/>
          <w:highlight w:val="none"/>
        </w:rPr>
        <w:t>建完，经查阅及核实现场施工记录、资料、现场状况等，水土保持工程措施于工程施工期间完成，总体进度满足主体工程和水土保持“三同时”要求。</w:t>
      </w:r>
    </w:p>
    <w:p>
      <w:pPr>
        <w:pStyle w:val="5"/>
        <w:rPr>
          <w:rFonts w:cs="Times New Roman"/>
          <w:color w:val="auto"/>
          <w:highlight w:val="none"/>
        </w:rPr>
      </w:pPr>
      <w:r>
        <w:rPr>
          <w:rFonts w:cs="Times New Roman"/>
          <w:color w:val="auto"/>
          <w:highlight w:val="none"/>
        </w:rPr>
        <w:t>工程实际完成和方案设计的水土保持工程措施量变化情况</w:t>
      </w:r>
    </w:p>
    <w:p>
      <w:pPr>
        <w:ind w:firstLine="480"/>
        <w:rPr>
          <w:rFonts w:cs="Times New Roman"/>
          <w:color w:val="auto"/>
          <w:highlight w:val="none"/>
        </w:rPr>
      </w:pPr>
      <w:r>
        <w:rPr>
          <w:rFonts w:cs="Times New Roman"/>
          <w:color w:val="auto"/>
          <w:highlight w:val="none"/>
        </w:rPr>
        <w:t>根据</w:t>
      </w:r>
      <w:r>
        <w:rPr>
          <w:rFonts w:hint="eastAsia" w:cs="Times New Roman"/>
          <w:color w:val="auto"/>
          <w:highlight w:val="none"/>
        </w:rPr>
        <w:t>施工设计</w:t>
      </w:r>
      <w:r>
        <w:rPr>
          <w:rFonts w:cs="Times New Roman"/>
          <w:color w:val="auto"/>
          <w:highlight w:val="none"/>
        </w:rPr>
        <w:t>结合工程现场实际情况，为</w:t>
      </w:r>
      <w:r>
        <w:rPr>
          <w:rFonts w:hint="eastAsia" w:cs="Times New Roman"/>
          <w:color w:val="auto"/>
          <w:highlight w:val="none"/>
        </w:rPr>
        <w:t>较好的</w:t>
      </w:r>
      <w:r>
        <w:rPr>
          <w:rFonts w:cs="Times New Roman"/>
          <w:color w:val="auto"/>
          <w:highlight w:val="none"/>
        </w:rPr>
        <w:t>开展水土流失防治工作及有效的利用工程资金，工程根据现场实际情况</w:t>
      </w:r>
      <w:r>
        <w:rPr>
          <w:rFonts w:hint="eastAsia" w:cs="Times New Roman"/>
          <w:color w:val="auto"/>
          <w:highlight w:val="none"/>
        </w:rPr>
        <w:t>调整水土保持</w:t>
      </w:r>
      <w:r>
        <w:rPr>
          <w:rFonts w:cs="Times New Roman"/>
          <w:color w:val="auto"/>
          <w:highlight w:val="none"/>
        </w:rPr>
        <w:t>措施</w:t>
      </w:r>
      <w:r>
        <w:rPr>
          <w:rFonts w:hint="eastAsia" w:cs="Times New Roman"/>
          <w:color w:val="auto"/>
          <w:highlight w:val="none"/>
        </w:rPr>
        <w:t>量</w:t>
      </w:r>
      <w:r>
        <w:rPr>
          <w:rFonts w:cs="Times New Roman"/>
          <w:color w:val="auto"/>
          <w:highlight w:val="none"/>
        </w:rPr>
        <w:t>，</w:t>
      </w:r>
      <w:r>
        <w:rPr>
          <w:rFonts w:hint="eastAsia" w:cs="Times New Roman"/>
          <w:color w:val="auto"/>
          <w:highlight w:val="none"/>
          <w:lang w:eastAsia="zh-CN"/>
        </w:rPr>
        <w:t>建构筑物防治区</w:t>
      </w:r>
      <w:r>
        <w:rPr>
          <w:rFonts w:cs="Times New Roman"/>
          <w:color w:val="auto"/>
          <w:highlight w:val="none"/>
        </w:rPr>
        <w:t>实际完成水土保持措施工程量较</w:t>
      </w:r>
      <w:r>
        <w:rPr>
          <w:rFonts w:hint="eastAsia" w:cs="Times New Roman"/>
          <w:color w:val="auto"/>
          <w:highlight w:val="none"/>
        </w:rPr>
        <w:t>水土保持</w:t>
      </w:r>
      <w:r>
        <w:rPr>
          <w:rFonts w:cs="Times New Roman"/>
          <w:color w:val="auto"/>
          <w:highlight w:val="none"/>
        </w:rPr>
        <w:t>方案</w:t>
      </w:r>
      <w:r>
        <w:rPr>
          <w:rFonts w:hint="eastAsia" w:cs="Times New Roman"/>
          <w:color w:val="auto"/>
          <w:highlight w:val="none"/>
        </w:rPr>
        <w:t>增加，</w:t>
      </w:r>
      <w:r>
        <w:rPr>
          <w:rFonts w:hint="eastAsia" w:cs="Times New Roman"/>
          <w:color w:val="auto"/>
          <w:highlight w:val="none"/>
          <w:lang w:eastAsia="zh-CN"/>
        </w:rPr>
        <w:t>道路及硬化工程防治区</w:t>
      </w:r>
      <w:r>
        <w:rPr>
          <w:rFonts w:hint="eastAsia" w:cs="Times New Roman"/>
          <w:color w:val="auto"/>
          <w:highlight w:val="none"/>
        </w:rPr>
        <w:t>、</w:t>
      </w:r>
      <w:r>
        <w:rPr>
          <w:rFonts w:hint="eastAsia" w:cs="Times New Roman"/>
          <w:color w:val="auto"/>
          <w:highlight w:val="none"/>
          <w:lang w:eastAsia="zh-CN"/>
        </w:rPr>
        <w:t>绿化防治区</w:t>
      </w:r>
      <w:r>
        <w:rPr>
          <w:rFonts w:hint="eastAsia" w:cs="Times New Roman"/>
          <w:color w:val="auto"/>
          <w:highlight w:val="none"/>
        </w:rPr>
        <w:t>水土保持工程措施量基本不变。</w:t>
      </w:r>
    </w:p>
    <w:p>
      <w:pPr>
        <w:ind w:firstLine="480"/>
        <w:rPr>
          <w:rFonts w:cs="Times New Roman"/>
          <w:color w:val="auto"/>
          <w:highlight w:val="none"/>
        </w:rPr>
      </w:pPr>
      <w:r>
        <w:rPr>
          <w:rFonts w:cs="Times New Roman"/>
          <w:color w:val="auto"/>
          <w:highlight w:val="none"/>
        </w:rPr>
        <w:t>实际完成和批复方案的水土保持工程措施量对比表3.5-</w:t>
      </w:r>
      <w:r>
        <w:rPr>
          <w:rFonts w:hint="eastAsia" w:cs="Times New Roman"/>
          <w:color w:val="auto"/>
          <w:highlight w:val="none"/>
        </w:rPr>
        <w:t>4</w:t>
      </w:r>
      <w:r>
        <w:rPr>
          <w:rFonts w:cs="Times New Roman"/>
          <w:color w:val="auto"/>
          <w:highlight w:val="none"/>
        </w:rPr>
        <w:t>。</w:t>
      </w:r>
    </w:p>
    <w:p>
      <w:pPr>
        <w:pStyle w:val="15"/>
        <w:rPr>
          <w:rFonts w:cs="Times New Roman"/>
          <w:color w:val="auto"/>
          <w:highlight w:val="none"/>
        </w:rPr>
      </w:pPr>
      <w:r>
        <w:rPr>
          <w:rFonts w:cs="Times New Roman"/>
          <w:color w:val="auto"/>
          <w:highlight w:val="none"/>
        </w:rPr>
        <w:t>表3.5-</w:t>
      </w:r>
      <w:r>
        <w:rPr>
          <w:rFonts w:hint="eastAsia" w:cs="Times New Roman"/>
          <w:color w:val="auto"/>
          <w:highlight w:val="none"/>
        </w:rPr>
        <w:t>4</w:t>
      </w:r>
      <w:r>
        <w:rPr>
          <w:rFonts w:cs="Times New Roman"/>
          <w:color w:val="auto"/>
          <w:highlight w:val="none"/>
        </w:rPr>
        <w:t xml:space="preserve"> 实际完成和批复方案的水土保持工程措施工程量对比</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415"/>
        <w:gridCol w:w="1006"/>
        <w:gridCol w:w="765"/>
        <w:gridCol w:w="1410"/>
        <w:gridCol w:w="1381"/>
        <w:gridCol w:w="794"/>
        <w:gridCol w:w="233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60" w:hRule="atLeast"/>
        </w:trPr>
        <w:tc>
          <w:tcPr>
            <w:tcW w:w="777" w:type="pct"/>
            <w:tcBorders>
              <w:tl2br w:val="nil"/>
              <w:tr2bl w:val="nil"/>
            </w:tcBorders>
            <w:shd w:val="clear" w:color="auto" w:fill="auto"/>
            <w:tcMar>
              <w:top w:w="15" w:type="dxa"/>
              <w:left w:w="15" w:type="dxa"/>
              <w:right w:w="15" w:type="dxa"/>
            </w:tcMar>
            <w:vAlign w:val="center"/>
          </w:tcPr>
          <w:p>
            <w:pPr>
              <w:pStyle w:val="16"/>
              <w:bidi w:val="0"/>
              <w:jc w:val="center"/>
              <w:rPr>
                <w:color w:val="auto"/>
                <w:highlight w:val="none"/>
              </w:rPr>
            </w:pPr>
            <w:r>
              <w:rPr>
                <w:rFonts w:hint="eastAsia"/>
                <w:color w:val="auto"/>
                <w:highlight w:val="none"/>
                <w:lang w:val="en-US" w:eastAsia="zh-CN"/>
              </w:rPr>
              <w:t>防治分区</w:t>
            </w:r>
          </w:p>
        </w:tc>
        <w:tc>
          <w:tcPr>
            <w:tcW w:w="552"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具体措施</w:t>
            </w:r>
          </w:p>
        </w:tc>
        <w:tc>
          <w:tcPr>
            <w:tcW w:w="420"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单位</w:t>
            </w:r>
          </w:p>
        </w:tc>
        <w:tc>
          <w:tcPr>
            <w:tcW w:w="774"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方案设计工程量</w:t>
            </w:r>
          </w:p>
        </w:tc>
        <w:tc>
          <w:tcPr>
            <w:tcW w:w="758"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实际完成工程量</w:t>
            </w:r>
          </w:p>
        </w:tc>
        <w:tc>
          <w:tcPr>
            <w:tcW w:w="436"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变化情况</w:t>
            </w:r>
          </w:p>
        </w:tc>
        <w:tc>
          <w:tcPr>
            <w:tcW w:w="1280"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变化原因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77" w:type="pct"/>
            <w:tcBorders>
              <w:tl2br w:val="nil"/>
              <w:tr2bl w:val="nil"/>
            </w:tcBorders>
            <w:shd w:val="clear" w:color="auto" w:fill="auto"/>
            <w:noWrap/>
            <w:tcMar>
              <w:top w:w="15" w:type="dxa"/>
              <w:left w:w="15" w:type="dxa"/>
              <w:right w:w="15" w:type="dxa"/>
            </w:tcMar>
            <w:vAlign w:val="center"/>
          </w:tcPr>
          <w:p>
            <w:pPr>
              <w:pStyle w:val="16"/>
              <w:bidi w:val="0"/>
              <w:jc w:val="center"/>
              <w:rPr>
                <w:color w:val="auto"/>
                <w:highlight w:val="none"/>
              </w:rPr>
            </w:pPr>
            <w:r>
              <w:rPr>
                <w:rFonts w:hint="eastAsia"/>
                <w:color w:val="auto"/>
                <w:highlight w:val="none"/>
                <w:lang w:val="en-US" w:eastAsia="zh-CN"/>
              </w:rPr>
              <w:t>建构筑物防治区</w:t>
            </w:r>
          </w:p>
        </w:tc>
        <w:tc>
          <w:tcPr>
            <w:tcW w:w="5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表土剥离</w:t>
            </w:r>
          </w:p>
        </w:tc>
        <w:tc>
          <w:tcPr>
            <w:tcW w:w="42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774"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900</w:t>
            </w:r>
          </w:p>
        </w:tc>
        <w:tc>
          <w:tcPr>
            <w:tcW w:w="7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900</w:t>
            </w:r>
          </w:p>
        </w:tc>
        <w:tc>
          <w:tcPr>
            <w:tcW w:w="436"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0</w:t>
            </w:r>
          </w:p>
        </w:tc>
        <w:tc>
          <w:tcPr>
            <w:tcW w:w="128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基本无变化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77" w:type="pct"/>
            <w:vMerge w:val="restar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道路及硬化工程防治区</w:t>
            </w:r>
          </w:p>
        </w:tc>
        <w:tc>
          <w:tcPr>
            <w:tcW w:w="5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排水沟</w:t>
            </w:r>
          </w:p>
        </w:tc>
        <w:tc>
          <w:tcPr>
            <w:tcW w:w="42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m</w:t>
            </w:r>
          </w:p>
        </w:tc>
        <w:tc>
          <w:tcPr>
            <w:tcW w:w="774"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600</w:t>
            </w:r>
          </w:p>
        </w:tc>
        <w:tc>
          <w:tcPr>
            <w:tcW w:w="7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660</w:t>
            </w:r>
          </w:p>
        </w:tc>
        <w:tc>
          <w:tcPr>
            <w:tcW w:w="436"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60</w:t>
            </w:r>
          </w:p>
        </w:tc>
        <w:tc>
          <w:tcPr>
            <w:tcW w:w="128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根据实际情况进行调整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7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洗车槽</w:t>
            </w:r>
          </w:p>
        </w:tc>
        <w:tc>
          <w:tcPr>
            <w:tcW w:w="42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个</w:t>
            </w:r>
          </w:p>
        </w:tc>
        <w:tc>
          <w:tcPr>
            <w:tcW w:w="774"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1</w:t>
            </w:r>
          </w:p>
        </w:tc>
        <w:tc>
          <w:tcPr>
            <w:tcW w:w="7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1</w:t>
            </w:r>
          </w:p>
        </w:tc>
        <w:tc>
          <w:tcPr>
            <w:tcW w:w="436"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0</w:t>
            </w:r>
          </w:p>
        </w:tc>
        <w:tc>
          <w:tcPr>
            <w:tcW w:w="128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基本无变化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77" w:type="pct"/>
            <w:vMerge w:val="continue"/>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p>
        </w:tc>
        <w:tc>
          <w:tcPr>
            <w:tcW w:w="5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表土回覆</w:t>
            </w:r>
          </w:p>
        </w:tc>
        <w:tc>
          <w:tcPr>
            <w:tcW w:w="42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774"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300</w:t>
            </w:r>
          </w:p>
        </w:tc>
        <w:tc>
          <w:tcPr>
            <w:tcW w:w="7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300</w:t>
            </w:r>
          </w:p>
        </w:tc>
        <w:tc>
          <w:tcPr>
            <w:tcW w:w="436"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0</w:t>
            </w:r>
          </w:p>
        </w:tc>
        <w:tc>
          <w:tcPr>
            <w:tcW w:w="128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基本无变化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77"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绿化防治区</w:t>
            </w:r>
          </w:p>
        </w:tc>
        <w:tc>
          <w:tcPr>
            <w:tcW w:w="552"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表土回覆</w:t>
            </w:r>
          </w:p>
        </w:tc>
        <w:tc>
          <w:tcPr>
            <w:tcW w:w="42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774"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600</w:t>
            </w:r>
          </w:p>
        </w:tc>
        <w:tc>
          <w:tcPr>
            <w:tcW w:w="758"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600</w:t>
            </w:r>
          </w:p>
        </w:tc>
        <w:tc>
          <w:tcPr>
            <w:tcW w:w="436"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0</w:t>
            </w:r>
          </w:p>
        </w:tc>
        <w:tc>
          <w:tcPr>
            <w:tcW w:w="1280" w:type="pct"/>
            <w:tcBorders>
              <w:tl2br w:val="nil"/>
              <w:tr2bl w:val="nil"/>
            </w:tcBorders>
            <w:shd w:val="clear" w:color="auto" w:fill="auto"/>
            <w:noWrap/>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基本无变化</w:t>
            </w:r>
          </w:p>
        </w:tc>
      </w:tr>
    </w:tbl>
    <w:p>
      <w:pPr>
        <w:pStyle w:val="4"/>
        <w:rPr>
          <w:rFonts w:cs="Times New Roman"/>
          <w:color w:val="auto"/>
          <w:highlight w:val="none"/>
        </w:rPr>
      </w:pPr>
      <w:r>
        <w:rPr>
          <w:rFonts w:cs="Times New Roman"/>
          <w:color w:val="auto"/>
          <w:highlight w:val="none"/>
        </w:rPr>
        <w:t>水土保持植物措施完成情况</w:t>
      </w:r>
    </w:p>
    <w:p>
      <w:pPr>
        <w:ind w:firstLine="480"/>
        <w:rPr>
          <w:rFonts w:cs="Times New Roman"/>
          <w:color w:val="auto"/>
          <w:highlight w:val="none"/>
        </w:rPr>
      </w:pPr>
      <w:r>
        <w:rPr>
          <w:rFonts w:cs="Times New Roman"/>
          <w:color w:val="auto"/>
          <w:highlight w:val="none"/>
        </w:rPr>
        <w:t>水土保持工程措施实施范围</w:t>
      </w:r>
      <w:r>
        <w:rPr>
          <w:rFonts w:hint="eastAsia" w:cs="Times New Roman"/>
          <w:color w:val="auto"/>
          <w:highlight w:val="none"/>
        </w:rPr>
        <w:t>为</w:t>
      </w:r>
      <w:r>
        <w:rPr>
          <w:rFonts w:hint="eastAsia" w:cs="Times New Roman"/>
          <w:color w:val="auto"/>
          <w:highlight w:val="none"/>
          <w:lang w:eastAsia="zh-CN"/>
        </w:rPr>
        <w:t>道路及硬化工程防治区</w:t>
      </w:r>
      <w:r>
        <w:rPr>
          <w:rFonts w:hint="eastAsia" w:cs="Times New Roman"/>
          <w:color w:val="auto"/>
          <w:highlight w:val="none"/>
        </w:rPr>
        <w:t>和</w:t>
      </w:r>
      <w:r>
        <w:rPr>
          <w:rFonts w:hint="eastAsia" w:cs="Times New Roman"/>
          <w:color w:val="auto"/>
          <w:highlight w:val="none"/>
          <w:lang w:eastAsia="zh-CN"/>
        </w:rPr>
        <w:t>绿化防治区</w:t>
      </w:r>
      <w:r>
        <w:rPr>
          <w:rFonts w:cs="Times New Roman"/>
          <w:color w:val="auto"/>
          <w:highlight w:val="none"/>
        </w:rPr>
        <w:t>。</w:t>
      </w:r>
    </w:p>
    <w:p>
      <w:pPr>
        <w:pStyle w:val="5"/>
        <w:rPr>
          <w:rFonts w:cs="Times New Roman"/>
          <w:color w:val="auto"/>
          <w:highlight w:val="none"/>
        </w:rPr>
      </w:pPr>
      <w:r>
        <w:rPr>
          <w:rFonts w:cs="Times New Roman"/>
          <w:color w:val="auto"/>
          <w:highlight w:val="none"/>
        </w:rPr>
        <w:t>水土保持植物措施实施情况及工程量</w:t>
      </w:r>
    </w:p>
    <w:p>
      <w:pPr>
        <w:numPr>
          <w:ilvl w:val="0"/>
          <w:numId w:val="10"/>
        </w:numPr>
        <w:ind w:left="0" w:firstLine="480"/>
        <w:rPr>
          <w:rFonts w:cs="Times New Roman"/>
          <w:color w:val="auto"/>
          <w:highlight w:val="none"/>
        </w:rPr>
      </w:pPr>
      <w:r>
        <w:rPr>
          <w:rFonts w:hint="eastAsia" w:cs="Times New Roman"/>
          <w:color w:val="auto"/>
          <w:highlight w:val="none"/>
          <w:lang w:eastAsia="zh-CN"/>
        </w:rPr>
        <w:t>道路及硬化工程防治区</w:t>
      </w:r>
    </w:p>
    <w:p>
      <w:pPr>
        <w:ind w:firstLine="480"/>
        <w:rPr>
          <w:rFonts w:cs="Times New Roman"/>
          <w:color w:val="auto"/>
          <w:highlight w:val="none"/>
        </w:rPr>
      </w:pPr>
      <w:r>
        <w:rPr>
          <w:rFonts w:cs="Times New Roman"/>
          <w:color w:val="auto"/>
          <w:highlight w:val="none"/>
        </w:rPr>
        <w:t>通过查阅施工过程、主体监理</w:t>
      </w:r>
      <w:r>
        <w:rPr>
          <w:rFonts w:hint="eastAsia" w:cs="Times New Roman"/>
          <w:color w:val="auto"/>
          <w:highlight w:val="none"/>
        </w:rPr>
        <w:t>、监测</w:t>
      </w:r>
      <w:r>
        <w:rPr>
          <w:rFonts w:cs="Times New Roman"/>
          <w:color w:val="auto"/>
          <w:highlight w:val="none"/>
        </w:rPr>
        <w:t>相关资料及结合现场情况，</w:t>
      </w:r>
      <w:r>
        <w:rPr>
          <w:rFonts w:hint="eastAsia" w:cs="Times New Roman"/>
          <w:color w:val="auto"/>
          <w:highlight w:val="none"/>
          <w:lang w:eastAsia="zh-CN"/>
        </w:rPr>
        <w:t>道路及硬化工程防治区</w:t>
      </w:r>
      <w:r>
        <w:rPr>
          <w:rFonts w:cs="Times New Roman"/>
          <w:color w:val="auto"/>
          <w:highlight w:val="none"/>
        </w:rPr>
        <w:t>主要实施的水土保持植物措施为</w:t>
      </w:r>
      <w:r>
        <w:rPr>
          <w:rFonts w:hint="eastAsia" w:cs="Times New Roman"/>
          <w:color w:val="auto"/>
          <w:highlight w:val="none"/>
          <w:lang w:val="en-US" w:eastAsia="zh-CN"/>
        </w:rPr>
        <w:t>植草砖</w:t>
      </w:r>
      <w:r>
        <w:rPr>
          <w:rFonts w:cs="Times New Roman"/>
          <w:color w:val="auto"/>
          <w:highlight w:val="none"/>
        </w:rPr>
        <w:t>。经统计，共完成</w:t>
      </w:r>
      <w:r>
        <w:rPr>
          <w:rFonts w:hint="eastAsia" w:cs="Times New Roman"/>
          <w:color w:val="auto"/>
          <w:highlight w:val="none"/>
          <w:lang w:val="en-US" w:eastAsia="zh-CN"/>
        </w:rPr>
        <w:t>植草砖1100</w:t>
      </w:r>
      <w:r>
        <w:rPr>
          <w:rFonts w:hint="eastAsia" w:cs="Times New Roman"/>
          <w:color w:val="auto"/>
          <w:highlight w:val="none"/>
        </w:rPr>
        <w:t>m</w:t>
      </w:r>
      <w:r>
        <w:rPr>
          <w:rFonts w:hint="eastAsia" w:cs="Times New Roman"/>
          <w:color w:val="auto"/>
          <w:highlight w:val="none"/>
          <w:vertAlign w:val="superscript"/>
        </w:rPr>
        <w:t>2</w:t>
      </w:r>
      <w:r>
        <w:rPr>
          <w:rFonts w:cs="Times New Roman"/>
          <w:color w:val="auto"/>
          <w:highlight w:val="none"/>
        </w:rPr>
        <w:t>。</w:t>
      </w:r>
    </w:p>
    <w:p>
      <w:pPr>
        <w:pStyle w:val="15"/>
        <w:rPr>
          <w:color w:val="auto"/>
          <w:highlight w:val="none"/>
        </w:rPr>
      </w:pPr>
      <w:r>
        <w:rPr>
          <w:color w:val="auto"/>
          <w:highlight w:val="none"/>
        </w:rPr>
        <w:t>表3.5-</w:t>
      </w:r>
      <w:r>
        <w:rPr>
          <w:rFonts w:hint="eastAsia"/>
          <w:color w:val="auto"/>
          <w:highlight w:val="none"/>
        </w:rPr>
        <w:t>5 道路及硬化工程防治</w:t>
      </w:r>
      <w:r>
        <w:rPr>
          <w:rFonts w:hint="eastAsia"/>
          <w:color w:val="auto"/>
          <w:highlight w:val="none"/>
          <w:lang w:eastAsia="zh-CN"/>
        </w:rPr>
        <w:t>区</w:t>
      </w:r>
      <w:r>
        <w:rPr>
          <w:color w:val="auto"/>
          <w:highlight w:val="none"/>
        </w:rPr>
        <w:t>水土保持</w:t>
      </w:r>
      <w:r>
        <w:rPr>
          <w:rFonts w:hint="eastAsia"/>
          <w:color w:val="auto"/>
          <w:highlight w:val="none"/>
        </w:rPr>
        <w:t>植物</w:t>
      </w:r>
      <w:r>
        <w:rPr>
          <w:color w:val="auto"/>
          <w:highlight w:val="none"/>
        </w:rPr>
        <w:t>措施实施情况及工程量</w:t>
      </w:r>
    </w:p>
    <w:tbl>
      <w:tblPr>
        <w:tblStyle w:val="11"/>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611"/>
        <w:gridCol w:w="3200"/>
        <w:gridCol w:w="1642"/>
        <w:gridCol w:w="164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435"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防治分区</w:t>
            </w:r>
          </w:p>
        </w:tc>
        <w:tc>
          <w:tcPr>
            <w:tcW w:w="175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具体措施</w:t>
            </w:r>
          </w:p>
        </w:tc>
        <w:tc>
          <w:tcPr>
            <w:tcW w:w="90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单位</w:t>
            </w:r>
          </w:p>
        </w:tc>
        <w:tc>
          <w:tcPr>
            <w:tcW w:w="90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实际完成工程量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435"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1758"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植草砖</w:t>
            </w:r>
          </w:p>
        </w:tc>
        <w:tc>
          <w:tcPr>
            <w:tcW w:w="902"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rFonts w:hint="eastAsia"/>
                <w:color w:val="auto"/>
                <w:highlight w:val="none"/>
              </w:rPr>
              <w:t>㎡</w:t>
            </w:r>
          </w:p>
        </w:tc>
        <w:tc>
          <w:tcPr>
            <w:tcW w:w="904" w:type="pct"/>
            <w:tcBorders>
              <w:tl2br w:val="nil"/>
              <w:tr2bl w:val="nil"/>
            </w:tcBorders>
            <w:shd w:val="clear" w:color="auto" w:fill="auto"/>
            <w:noWrap/>
            <w:tcMar>
              <w:top w:w="15" w:type="dxa"/>
              <w:left w:w="15" w:type="dxa"/>
              <w:right w:w="15" w:type="dxa"/>
            </w:tcMar>
            <w:vAlign w:val="center"/>
          </w:tcPr>
          <w:p>
            <w:pPr>
              <w:pStyle w:val="16"/>
              <w:rPr>
                <w:rFonts w:hint="default" w:eastAsia="仿宋"/>
                <w:color w:val="auto"/>
                <w:highlight w:val="none"/>
                <w:lang w:val="en-US" w:eastAsia="zh-CN"/>
              </w:rPr>
            </w:pPr>
            <w:r>
              <w:rPr>
                <w:rFonts w:hint="eastAsia"/>
                <w:color w:val="auto"/>
                <w:highlight w:val="none"/>
                <w:lang w:val="en-US" w:eastAsia="zh-CN"/>
              </w:rPr>
              <w:t>1100</w:t>
            </w:r>
          </w:p>
        </w:tc>
      </w:tr>
    </w:tbl>
    <w:p>
      <w:pPr>
        <w:numPr>
          <w:ilvl w:val="0"/>
          <w:numId w:val="10"/>
        </w:numPr>
        <w:ind w:left="0" w:firstLine="480"/>
        <w:rPr>
          <w:rFonts w:cs="Times New Roman"/>
          <w:color w:val="auto"/>
          <w:highlight w:val="none"/>
        </w:rPr>
      </w:pPr>
      <w:r>
        <w:rPr>
          <w:rFonts w:hint="eastAsia" w:cs="Times New Roman"/>
          <w:color w:val="auto"/>
          <w:highlight w:val="none"/>
          <w:lang w:eastAsia="zh-CN"/>
        </w:rPr>
        <w:t>绿化防治区</w:t>
      </w:r>
    </w:p>
    <w:p>
      <w:pPr>
        <w:ind w:firstLine="480"/>
        <w:rPr>
          <w:rFonts w:cs="Times New Roman"/>
          <w:color w:val="auto"/>
          <w:highlight w:val="none"/>
        </w:rPr>
      </w:pPr>
      <w:r>
        <w:rPr>
          <w:rFonts w:cs="Times New Roman"/>
          <w:color w:val="auto"/>
          <w:highlight w:val="none"/>
        </w:rPr>
        <w:t>通过查阅施工过程、主体监理</w:t>
      </w:r>
      <w:r>
        <w:rPr>
          <w:rFonts w:hint="eastAsia" w:cs="Times New Roman"/>
          <w:color w:val="auto"/>
          <w:highlight w:val="none"/>
        </w:rPr>
        <w:t>、监测</w:t>
      </w:r>
      <w:r>
        <w:rPr>
          <w:rFonts w:cs="Times New Roman"/>
          <w:color w:val="auto"/>
          <w:highlight w:val="none"/>
        </w:rPr>
        <w:t>相关资料及结合现场情况，</w:t>
      </w:r>
      <w:r>
        <w:rPr>
          <w:rFonts w:hint="eastAsia" w:cs="Times New Roman"/>
          <w:color w:val="auto"/>
          <w:highlight w:val="none"/>
          <w:lang w:eastAsia="zh-CN"/>
        </w:rPr>
        <w:t>绿化防治区</w:t>
      </w:r>
      <w:r>
        <w:rPr>
          <w:rFonts w:cs="Times New Roman"/>
          <w:color w:val="auto"/>
          <w:highlight w:val="none"/>
        </w:rPr>
        <w:t>主要实施的水土保持植物措施为</w:t>
      </w:r>
      <w:r>
        <w:rPr>
          <w:rFonts w:hint="eastAsia" w:cs="Times New Roman"/>
          <w:color w:val="auto"/>
          <w:highlight w:val="none"/>
        </w:rPr>
        <w:t>绿化措施</w:t>
      </w:r>
      <w:r>
        <w:rPr>
          <w:rFonts w:cs="Times New Roman"/>
          <w:color w:val="auto"/>
          <w:highlight w:val="none"/>
        </w:rPr>
        <w:t>。</w:t>
      </w:r>
    </w:p>
    <w:p>
      <w:pPr>
        <w:pStyle w:val="15"/>
        <w:rPr>
          <w:color w:val="auto"/>
          <w:highlight w:val="none"/>
        </w:rPr>
      </w:pPr>
      <w:r>
        <w:rPr>
          <w:color w:val="auto"/>
          <w:highlight w:val="none"/>
        </w:rPr>
        <w:t>表3.5-</w:t>
      </w:r>
      <w:r>
        <w:rPr>
          <w:rFonts w:hint="eastAsia"/>
          <w:color w:val="auto"/>
          <w:highlight w:val="none"/>
        </w:rPr>
        <w:t xml:space="preserve">6 </w:t>
      </w:r>
      <w:r>
        <w:rPr>
          <w:rFonts w:hint="eastAsia"/>
          <w:color w:val="auto"/>
          <w:highlight w:val="none"/>
          <w:lang w:eastAsia="zh-CN"/>
        </w:rPr>
        <w:t>绿化防治区</w:t>
      </w:r>
      <w:r>
        <w:rPr>
          <w:color w:val="auto"/>
          <w:highlight w:val="none"/>
        </w:rPr>
        <w:t>水土保持</w:t>
      </w:r>
      <w:r>
        <w:rPr>
          <w:rFonts w:hint="eastAsia"/>
          <w:color w:val="auto"/>
          <w:highlight w:val="none"/>
        </w:rPr>
        <w:t>植物</w:t>
      </w:r>
      <w:r>
        <w:rPr>
          <w:color w:val="auto"/>
          <w:highlight w:val="none"/>
        </w:rPr>
        <w:t>措施实施情况及工程量</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470"/>
        <w:gridCol w:w="3857"/>
        <w:gridCol w:w="1341"/>
        <w:gridCol w:w="142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57"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防治分区</w:t>
            </w:r>
          </w:p>
        </w:tc>
        <w:tc>
          <w:tcPr>
            <w:tcW w:w="211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具体措施</w:t>
            </w:r>
          </w:p>
        </w:tc>
        <w:tc>
          <w:tcPr>
            <w:tcW w:w="737"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单位</w:t>
            </w:r>
          </w:p>
        </w:tc>
        <w:tc>
          <w:tcPr>
            <w:tcW w:w="785"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实际完成工程量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357" w:type="pct"/>
            <w:vMerge w:val="restar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3857" w:type="dxa"/>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栽植乔木</w:t>
            </w:r>
          </w:p>
        </w:tc>
        <w:tc>
          <w:tcPr>
            <w:tcW w:w="1341" w:type="dxa"/>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株</w:t>
            </w:r>
          </w:p>
        </w:tc>
        <w:tc>
          <w:tcPr>
            <w:tcW w:w="1429" w:type="dxa"/>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216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357" w:type="pct"/>
            <w:vMerge w:val="continue"/>
            <w:tcBorders>
              <w:tl2br w:val="nil"/>
              <w:tr2bl w:val="nil"/>
            </w:tcBorders>
            <w:shd w:val="clear" w:color="auto" w:fill="auto"/>
            <w:noWrap/>
            <w:tcMar>
              <w:top w:w="15" w:type="dxa"/>
              <w:left w:w="15" w:type="dxa"/>
              <w:right w:w="15" w:type="dxa"/>
            </w:tcMar>
            <w:vAlign w:val="center"/>
          </w:tcPr>
          <w:p>
            <w:pPr>
              <w:pStyle w:val="16"/>
              <w:rPr>
                <w:color w:val="auto"/>
                <w:highlight w:val="none"/>
              </w:rPr>
            </w:pPr>
          </w:p>
        </w:tc>
        <w:tc>
          <w:tcPr>
            <w:tcW w:w="3857" w:type="dxa"/>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栽植灌木</w:t>
            </w:r>
          </w:p>
        </w:tc>
        <w:tc>
          <w:tcPr>
            <w:tcW w:w="1341" w:type="dxa"/>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株</w:t>
            </w:r>
          </w:p>
        </w:tc>
        <w:tc>
          <w:tcPr>
            <w:tcW w:w="1429" w:type="dxa"/>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980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357" w:type="pct"/>
            <w:vMerge w:val="continue"/>
            <w:tcBorders>
              <w:tl2br w:val="nil"/>
              <w:tr2bl w:val="nil"/>
            </w:tcBorders>
            <w:shd w:val="clear" w:color="auto" w:fill="auto"/>
            <w:noWrap/>
            <w:tcMar>
              <w:top w:w="15" w:type="dxa"/>
              <w:left w:w="15" w:type="dxa"/>
              <w:right w:w="15" w:type="dxa"/>
            </w:tcMar>
            <w:vAlign w:val="center"/>
          </w:tcPr>
          <w:p>
            <w:pPr>
              <w:pStyle w:val="16"/>
              <w:rPr>
                <w:color w:val="auto"/>
                <w:highlight w:val="none"/>
              </w:rPr>
            </w:pPr>
          </w:p>
        </w:tc>
        <w:tc>
          <w:tcPr>
            <w:tcW w:w="3857" w:type="dxa"/>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直播种草</w:t>
            </w:r>
          </w:p>
        </w:tc>
        <w:tc>
          <w:tcPr>
            <w:tcW w:w="1341" w:type="dxa"/>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hm</w:t>
            </w:r>
            <w:r>
              <w:rPr>
                <w:rFonts w:hint="eastAsia"/>
                <w:color w:val="auto"/>
                <w:highlight w:val="none"/>
                <w:vertAlign w:val="superscript"/>
                <w:lang w:val="en-US" w:eastAsia="zh-CN"/>
              </w:rPr>
              <w:t>2</w:t>
            </w:r>
          </w:p>
        </w:tc>
        <w:tc>
          <w:tcPr>
            <w:tcW w:w="1429" w:type="dxa"/>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0.1</w:t>
            </w:r>
          </w:p>
        </w:tc>
      </w:tr>
    </w:tbl>
    <w:p>
      <w:pPr>
        <w:pStyle w:val="5"/>
        <w:rPr>
          <w:rFonts w:cs="Times New Roman"/>
          <w:color w:val="auto"/>
          <w:highlight w:val="none"/>
        </w:rPr>
      </w:pPr>
      <w:r>
        <w:rPr>
          <w:rFonts w:cs="Times New Roman"/>
          <w:color w:val="auto"/>
          <w:highlight w:val="none"/>
        </w:rPr>
        <w:t>水土保持植物措施实施进度</w:t>
      </w:r>
    </w:p>
    <w:p>
      <w:pPr>
        <w:ind w:firstLine="480"/>
        <w:rPr>
          <w:rFonts w:cs="Times New Roman"/>
          <w:color w:val="auto"/>
          <w:highlight w:val="none"/>
        </w:rPr>
      </w:pPr>
      <w:r>
        <w:rPr>
          <w:rFonts w:cs="Times New Roman"/>
          <w:color w:val="auto"/>
          <w:highlight w:val="none"/>
        </w:rPr>
        <w:t>项目</w:t>
      </w:r>
      <w:r>
        <w:rPr>
          <w:rFonts w:hint="eastAsia" w:cs="Times New Roman"/>
          <w:color w:val="auto"/>
          <w:highlight w:val="none"/>
        </w:rPr>
        <w:t>主体工程</w:t>
      </w:r>
      <w:r>
        <w:rPr>
          <w:rFonts w:cs="Times New Roman"/>
          <w:color w:val="auto"/>
          <w:highlight w:val="none"/>
        </w:rPr>
        <w:t>已于</w:t>
      </w:r>
      <w:r>
        <w:rPr>
          <w:rFonts w:hint="eastAsia" w:cs="Times New Roman"/>
          <w:color w:val="auto"/>
          <w:highlight w:val="none"/>
          <w:lang w:eastAsia="zh-CN"/>
        </w:rPr>
        <w:t>2016年9月</w:t>
      </w:r>
      <w:r>
        <w:rPr>
          <w:rFonts w:cs="Times New Roman"/>
          <w:color w:val="auto"/>
          <w:highlight w:val="none"/>
        </w:rPr>
        <w:t>开工，</w:t>
      </w:r>
      <w:r>
        <w:rPr>
          <w:rFonts w:hint="eastAsia" w:cs="Times New Roman"/>
          <w:color w:val="auto"/>
          <w:highlight w:val="none"/>
        </w:rPr>
        <w:t>于</w:t>
      </w:r>
      <w:r>
        <w:rPr>
          <w:rFonts w:hint="eastAsia" w:cs="Times New Roman"/>
          <w:color w:val="auto"/>
          <w:highlight w:val="none"/>
          <w:lang w:eastAsia="zh-CN"/>
        </w:rPr>
        <w:t>2017年9月</w:t>
      </w:r>
      <w:r>
        <w:rPr>
          <w:rFonts w:cs="Times New Roman"/>
          <w:color w:val="auto"/>
          <w:highlight w:val="none"/>
        </w:rPr>
        <w:t>建完，经查阅及核实现场施工记录、资料、现场状况等，水土保持</w:t>
      </w:r>
      <w:r>
        <w:rPr>
          <w:rFonts w:hint="eastAsia" w:cs="Times New Roman"/>
          <w:color w:val="auto"/>
          <w:highlight w:val="none"/>
        </w:rPr>
        <w:t>植物</w:t>
      </w:r>
      <w:r>
        <w:rPr>
          <w:rFonts w:cs="Times New Roman"/>
          <w:color w:val="auto"/>
          <w:highlight w:val="none"/>
        </w:rPr>
        <w:t>措施于工程施工期</w:t>
      </w:r>
      <w:r>
        <w:rPr>
          <w:rFonts w:hint="eastAsia" w:cs="Times New Roman"/>
          <w:color w:val="auto"/>
          <w:highlight w:val="none"/>
        </w:rPr>
        <w:t>实施</w:t>
      </w:r>
      <w:r>
        <w:rPr>
          <w:rFonts w:cs="Times New Roman"/>
          <w:color w:val="auto"/>
          <w:highlight w:val="none"/>
        </w:rPr>
        <w:t>，总体进度满足主体工程和水土保持要求。</w:t>
      </w:r>
    </w:p>
    <w:p>
      <w:pPr>
        <w:pStyle w:val="5"/>
        <w:rPr>
          <w:rFonts w:cs="Times New Roman"/>
          <w:color w:val="auto"/>
          <w:highlight w:val="none"/>
        </w:rPr>
      </w:pPr>
      <w:r>
        <w:rPr>
          <w:rFonts w:cs="Times New Roman"/>
          <w:color w:val="auto"/>
          <w:highlight w:val="none"/>
        </w:rPr>
        <w:t>工程实际完成和方案设计的水土保持植物措施量变化情况</w:t>
      </w:r>
    </w:p>
    <w:p>
      <w:pPr>
        <w:ind w:firstLine="480"/>
        <w:rPr>
          <w:rFonts w:cs="Times New Roman"/>
          <w:color w:val="auto"/>
          <w:highlight w:val="none"/>
        </w:rPr>
      </w:pPr>
      <w:r>
        <w:rPr>
          <w:rFonts w:cs="Times New Roman"/>
          <w:color w:val="auto"/>
          <w:highlight w:val="none"/>
        </w:rPr>
        <w:t>根据施工设计结合工程现场实际情况，为较好的开展水土流失防治工作及有效的利用工程资金，</w:t>
      </w:r>
      <w:r>
        <w:rPr>
          <w:rFonts w:hint="eastAsia" w:cs="Times New Roman"/>
          <w:color w:val="auto"/>
          <w:highlight w:val="none"/>
        </w:rPr>
        <w:t>实际施工过程中，施工单位</w:t>
      </w:r>
      <w:r>
        <w:rPr>
          <w:rFonts w:cs="Times New Roman"/>
          <w:color w:val="auto"/>
          <w:highlight w:val="none"/>
        </w:rPr>
        <w:t>根据</w:t>
      </w:r>
      <w:r>
        <w:rPr>
          <w:rFonts w:hint="eastAsia" w:cs="Times New Roman"/>
          <w:color w:val="auto"/>
          <w:highlight w:val="none"/>
        </w:rPr>
        <w:t>批复水土保持方案及</w:t>
      </w:r>
      <w:r>
        <w:rPr>
          <w:rFonts w:cs="Times New Roman"/>
          <w:color w:val="auto"/>
          <w:highlight w:val="none"/>
        </w:rPr>
        <w:t>现场实际情况</w:t>
      </w:r>
      <w:r>
        <w:rPr>
          <w:rFonts w:hint="eastAsia" w:cs="Times New Roman"/>
          <w:color w:val="auto"/>
          <w:highlight w:val="none"/>
        </w:rPr>
        <w:t>实施了较</w:t>
      </w:r>
      <w:r>
        <w:rPr>
          <w:rFonts w:cs="Times New Roman"/>
          <w:color w:val="auto"/>
          <w:highlight w:val="none"/>
        </w:rPr>
        <w:t>完善的水土保持措施，工程实际完成水土保持</w:t>
      </w:r>
      <w:r>
        <w:rPr>
          <w:rFonts w:hint="eastAsia" w:cs="Times New Roman"/>
          <w:color w:val="auto"/>
          <w:highlight w:val="none"/>
        </w:rPr>
        <w:t>植物</w:t>
      </w:r>
      <w:r>
        <w:rPr>
          <w:rFonts w:cs="Times New Roman"/>
          <w:color w:val="auto"/>
          <w:highlight w:val="none"/>
        </w:rPr>
        <w:t>措施工程量较水土保持方案无变化。</w:t>
      </w:r>
    </w:p>
    <w:p>
      <w:pPr>
        <w:ind w:firstLine="480"/>
        <w:rPr>
          <w:rFonts w:cs="Times New Roman"/>
          <w:color w:val="auto"/>
          <w:highlight w:val="none"/>
        </w:rPr>
      </w:pPr>
      <w:r>
        <w:rPr>
          <w:rFonts w:cs="Times New Roman"/>
          <w:color w:val="auto"/>
          <w:highlight w:val="none"/>
        </w:rPr>
        <w:t>实际完成和批复方案的水土保持工程措施量对比表3.5-</w:t>
      </w:r>
      <w:r>
        <w:rPr>
          <w:rFonts w:hint="eastAsia" w:cs="Times New Roman"/>
          <w:color w:val="auto"/>
          <w:highlight w:val="none"/>
        </w:rPr>
        <w:t>7</w:t>
      </w:r>
      <w:r>
        <w:rPr>
          <w:rFonts w:cs="Times New Roman"/>
          <w:color w:val="auto"/>
          <w:highlight w:val="none"/>
        </w:rPr>
        <w:t>。</w:t>
      </w:r>
    </w:p>
    <w:p>
      <w:pPr>
        <w:pStyle w:val="15"/>
        <w:rPr>
          <w:rFonts w:cs="Times New Roman"/>
          <w:color w:val="auto"/>
          <w:highlight w:val="none"/>
        </w:rPr>
      </w:pPr>
    </w:p>
    <w:p>
      <w:pPr>
        <w:pStyle w:val="15"/>
        <w:rPr>
          <w:rFonts w:cs="Times New Roman"/>
          <w:color w:val="auto"/>
          <w:highlight w:val="none"/>
        </w:rPr>
      </w:pPr>
      <w:r>
        <w:rPr>
          <w:rFonts w:cs="Times New Roman"/>
          <w:color w:val="auto"/>
          <w:highlight w:val="none"/>
        </w:rPr>
        <w:t>表3.5-</w:t>
      </w:r>
      <w:r>
        <w:rPr>
          <w:rFonts w:hint="eastAsia" w:cs="Times New Roman"/>
          <w:color w:val="auto"/>
          <w:highlight w:val="none"/>
        </w:rPr>
        <w:t>7</w:t>
      </w:r>
      <w:r>
        <w:rPr>
          <w:rFonts w:cs="Times New Roman"/>
          <w:color w:val="auto"/>
          <w:highlight w:val="none"/>
        </w:rPr>
        <w:t>项目水土保持植物措施变化情况</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926"/>
        <w:gridCol w:w="810"/>
        <w:gridCol w:w="480"/>
        <w:gridCol w:w="1620"/>
        <w:gridCol w:w="1365"/>
        <w:gridCol w:w="960"/>
        <w:gridCol w:w="194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0" w:hRule="atLeast"/>
        </w:trPr>
        <w:tc>
          <w:tcPr>
            <w:tcW w:w="1058"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防治分区</w:t>
            </w:r>
          </w:p>
        </w:tc>
        <w:tc>
          <w:tcPr>
            <w:tcW w:w="444"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具体措施</w:t>
            </w:r>
          </w:p>
        </w:tc>
        <w:tc>
          <w:tcPr>
            <w:tcW w:w="26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w:t>
            </w:r>
          </w:p>
        </w:tc>
        <w:tc>
          <w:tcPr>
            <w:tcW w:w="889"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方案设计工程量</w:t>
            </w:r>
          </w:p>
        </w:tc>
        <w:tc>
          <w:tcPr>
            <w:tcW w:w="749"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实际完成工程量</w:t>
            </w:r>
          </w:p>
        </w:tc>
        <w:tc>
          <w:tcPr>
            <w:tcW w:w="527"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变化情况</w:t>
            </w:r>
          </w:p>
        </w:tc>
        <w:tc>
          <w:tcPr>
            <w:tcW w:w="1066"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变化原因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058"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道路及硬化工程防治区</w:t>
            </w:r>
          </w:p>
        </w:tc>
        <w:tc>
          <w:tcPr>
            <w:tcW w:w="4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植草砖</w:t>
            </w:r>
          </w:p>
        </w:tc>
        <w:tc>
          <w:tcPr>
            <w:tcW w:w="26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2</w:t>
            </w:r>
          </w:p>
        </w:tc>
        <w:tc>
          <w:tcPr>
            <w:tcW w:w="8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1100</w:t>
            </w:r>
          </w:p>
        </w:tc>
        <w:tc>
          <w:tcPr>
            <w:tcW w:w="74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1100</w:t>
            </w:r>
          </w:p>
        </w:tc>
        <w:tc>
          <w:tcPr>
            <w:tcW w:w="5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w:t>
            </w:r>
          </w:p>
        </w:tc>
        <w:tc>
          <w:tcPr>
            <w:tcW w:w="106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基本无变化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058"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绿化防治区</w:t>
            </w:r>
          </w:p>
        </w:tc>
        <w:tc>
          <w:tcPr>
            <w:tcW w:w="4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栽植乔木</w:t>
            </w:r>
          </w:p>
        </w:tc>
        <w:tc>
          <w:tcPr>
            <w:tcW w:w="26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株</w:t>
            </w:r>
          </w:p>
        </w:tc>
        <w:tc>
          <w:tcPr>
            <w:tcW w:w="8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200</w:t>
            </w:r>
          </w:p>
        </w:tc>
        <w:tc>
          <w:tcPr>
            <w:tcW w:w="74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216</w:t>
            </w:r>
          </w:p>
        </w:tc>
        <w:tc>
          <w:tcPr>
            <w:tcW w:w="5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16</w:t>
            </w:r>
          </w:p>
        </w:tc>
        <w:tc>
          <w:tcPr>
            <w:tcW w:w="1066"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根据实际情况进行调整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05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4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栽植灌木</w:t>
            </w:r>
          </w:p>
        </w:tc>
        <w:tc>
          <w:tcPr>
            <w:tcW w:w="26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株</w:t>
            </w:r>
          </w:p>
        </w:tc>
        <w:tc>
          <w:tcPr>
            <w:tcW w:w="8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1000</w:t>
            </w:r>
          </w:p>
        </w:tc>
        <w:tc>
          <w:tcPr>
            <w:tcW w:w="74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980</w:t>
            </w:r>
          </w:p>
        </w:tc>
        <w:tc>
          <w:tcPr>
            <w:tcW w:w="5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w:t>
            </w:r>
          </w:p>
        </w:tc>
        <w:tc>
          <w:tcPr>
            <w:tcW w:w="1066" w:type="pct"/>
            <w:tcBorders>
              <w:tl2br w:val="nil"/>
              <w:tr2bl w:val="nil"/>
            </w:tcBorders>
            <w:shd w:val="clear" w:color="auto" w:fill="auto"/>
            <w:noWrap/>
            <w:tcMar>
              <w:top w:w="15" w:type="dxa"/>
              <w:left w:w="15" w:type="dxa"/>
              <w:right w:w="15" w:type="dxa"/>
            </w:tcMar>
            <w:vAlign w:val="bottom"/>
          </w:tcPr>
          <w:p>
            <w:pPr>
              <w:pStyle w:val="16"/>
              <w:bidi w:val="0"/>
              <w:rPr>
                <w:rFonts w:hint="eastAsia"/>
                <w:color w:val="auto"/>
                <w:highlight w:val="none"/>
              </w:rPr>
            </w:pPr>
            <w:r>
              <w:rPr>
                <w:rFonts w:hint="eastAsia"/>
                <w:color w:val="auto"/>
                <w:highlight w:val="none"/>
                <w:lang w:val="en-US" w:eastAsia="zh-CN"/>
              </w:rPr>
              <w:t>根据实际情况进行调整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05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4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直播种草</w:t>
            </w:r>
          </w:p>
        </w:tc>
        <w:tc>
          <w:tcPr>
            <w:tcW w:w="26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hm</w:t>
            </w:r>
            <w:r>
              <w:rPr>
                <w:rFonts w:hint="eastAsia"/>
                <w:color w:val="auto"/>
                <w:highlight w:val="none"/>
                <w:vertAlign w:val="superscript"/>
                <w:lang w:val="en-US" w:eastAsia="zh-CN"/>
              </w:rPr>
              <w:t>2</w:t>
            </w:r>
          </w:p>
        </w:tc>
        <w:tc>
          <w:tcPr>
            <w:tcW w:w="8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0.1</w:t>
            </w:r>
          </w:p>
        </w:tc>
        <w:tc>
          <w:tcPr>
            <w:tcW w:w="74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0.1</w:t>
            </w:r>
          </w:p>
        </w:tc>
        <w:tc>
          <w:tcPr>
            <w:tcW w:w="5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w:t>
            </w:r>
          </w:p>
        </w:tc>
        <w:tc>
          <w:tcPr>
            <w:tcW w:w="106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基本无变化</w:t>
            </w:r>
          </w:p>
        </w:tc>
      </w:tr>
    </w:tbl>
    <w:p>
      <w:pPr>
        <w:pStyle w:val="4"/>
        <w:rPr>
          <w:rFonts w:cs="Times New Roman"/>
          <w:color w:val="auto"/>
          <w:highlight w:val="none"/>
        </w:rPr>
      </w:pPr>
      <w:r>
        <w:rPr>
          <w:rFonts w:cs="Times New Roman"/>
          <w:color w:val="auto"/>
          <w:highlight w:val="none"/>
        </w:rPr>
        <w:t>水土保持临时措施完成情况</w:t>
      </w:r>
    </w:p>
    <w:p>
      <w:pPr>
        <w:ind w:firstLine="480"/>
        <w:rPr>
          <w:rFonts w:cs="Times New Roman"/>
          <w:color w:val="auto"/>
          <w:highlight w:val="none"/>
        </w:rPr>
      </w:pPr>
      <w:r>
        <w:rPr>
          <w:rFonts w:cs="Times New Roman"/>
          <w:color w:val="auto"/>
          <w:highlight w:val="none"/>
        </w:rPr>
        <w:t>由于现阶段临时措施已基本被拆除，我单位技术人员只能通过查阅的工程施工过程资料、影像资料、主体监理资料等相关资料确认，建设单位在施工过程中对表土实施了临时挡护，实施临时措施结合现场实际情况进行了</w:t>
      </w:r>
      <w:r>
        <w:rPr>
          <w:rFonts w:hint="eastAsia" w:cs="Times New Roman"/>
          <w:color w:val="auto"/>
          <w:highlight w:val="none"/>
        </w:rPr>
        <w:t>合理布设</w:t>
      </w:r>
      <w:r>
        <w:rPr>
          <w:rFonts w:cs="Times New Roman"/>
          <w:color w:val="auto"/>
          <w:highlight w:val="none"/>
        </w:rPr>
        <w:t>，建设单位临时措施实施进度根据主体工程施工进度相继实施完成了临时措施，总体进度满足主体工程和水土保持要求。</w:t>
      </w:r>
    </w:p>
    <w:p>
      <w:pPr>
        <w:pStyle w:val="15"/>
        <w:rPr>
          <w:rFonts w:cs="Times New Roman"/>
          <w:color w:val="auto"/>
          <w:highlight w:val="none"/>
        </w:rPr>
      </w:pPr>
      <w:r>
        <w:rPr>
          <w:rFonts w:cs="Times New Roman"/>
          <w:color w:val="auto"/>
          <w:highlight w:val="none"/>
        </w:rPr>
        <w:t>表3.5-</w:t>
      </w:r>
      <w:r>
        <w:rPr>
          <w:rFonts w:hint="eastAsia" w:cs="Times New Roman"/>
          <w:color w:val="auto"/>
          <w:highlight w:val="none"/>
        </w:rPr>
        <w:t>8</w:t>
      </w:r>
      <w:r>
        <w:rPr>
          <w:rFonts w:cs="Times New Roman"/>
          <w:color w:val="auto"/>
          <w:highlight w:val="none"/>
        </w:rPr>
        <w:t xml:space="preserve">  实际完成和批复方案的水土保持临时措施对比情况</w:t>
      </w:r>
    </w:p>
    <w:tbl>
      <w:tblPr>
        <w:tblStyle w:val="11"/>
        <w:tblW w:w="5000" w:type="pct"/>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100"/>
        <w:gridCol w:w="1765"/>
        <w:gridCol w:w="596"/>
        <w:gridCol w:w="847"/>
        <w:gridCol w:w="847"/>
        <w:gridCol w:w="681"/>
        <w:gridCol w:w="2266"/>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20" w:hRule="atLeast"/>
        </w:trPr>
        <w:tc>
          <w:tcPr>
            <w:tcW w:w="1153"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bookmarkStart w:id="18" w:name="_Toc13755"/>
            <w:r>
              <w:rPr>
                <w:rFonts w:hint="eastAsia"/>
                <w:color w:val="auto"/>
                <w:highlight w:val="none"/>
                <w:lang w:val="en-US" w:eastAsia="zh-CN"/>
              </w:rPr>
              <w:t>防治分区</w:t>
            </w:r>
          </w:p>
        </w:tc>
        <w:tc>
          <w:tcPr>
            <w:tcW w:w="969"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具体措施</w:t>
            </w:r>
          </w:p>
        </w:tc>
        <w:tc>
          <w:tcPr>
            <w:tcW w:w="327"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w:t>
            </w:r>
          </w:p>
        </w:tc>
        <w:tc>
          <w:tcPr>
            <w:tcW w:w="465"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水保方案设计工程量</w:t>
            </w:r>
          </w:p>
        </w:tc>
        <w:tc>
          <w:tcPr>
            <w:tcW w:w="465"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实际完成工程量</w:t>
            </w:r>
          </w:p>
        </w:tc>
        <w:tc>
          <w:tcPr>
            <w:tcW w:w="374"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变化情况</w:t>
            </w:r>
          </w:p>
        </w:tc>
        <w:tc>
          <w:tcPr>
            <w:tcW w:w="1244"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变化原因</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53"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建构筑物防治区</w:t>
            </w:r>
          </w:p>
        </w:tc>
        <w:tc>
          <w:tcPr>
            <w:tcW w:w="9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密目网遮盖及拆除</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2</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10000</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10000</w:t>
            </w:r>
          </w:p>
        </w:tc>
        <w:tc>
          <w:tcPr>
            <w:tcW w:w="37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w:t>
            </w:r>
          </w:p>
        </w:tc>
        <w:tc>
          <w:tcPr>
            <w:tcW w:w="12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基本无变化</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153"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9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排水沟开挖</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144</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162</w:t>
            </w:r>
          </w:p>
        </w:tc>
        <w:tc>
          <w:tcPr>
            <w:tcW w:w="37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18</w:t>
            </w:r>
          </w:p>
        </w:tc>
        <w:tc>
          <w:tcPr>
            <w:tcW w:w="1244"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根据实际情况进行调整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153"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道路及硬化工程防治区</w:t>
            </w:r>
          </w:p>
        </w:tc>
        <w:tc>
          <w:tcPr>
            <w:tcW w:w="9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密目网遮盖及拆除</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2</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500</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620</w:t>
            </w:r>
          </w:p>
        </w:tc>
        <w:tc>
          <w:tcPr>
            <w:tcW w:w="37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120</w:t>
            </w:r>
          </w:p>
        </w:tc>
        <w:tc>
          <w:tcPr>
            <w:tcW w:w="12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根据实际情况进行调整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153"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9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排水沟开挖</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19.2</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21.8</w:t>
            </w:r>
          </w:p>
        </w:tc>
        <w:tc>
          <w:tcPr>
            <w:tcW w:w="37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2.6</w:t>
            </w:r>
          </w:p>
        </w:tc>
        <w:tc>
          <w:tcPr>
            <w:tcW w:w="12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根据实际情况进行调整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10" w:hRule="atLeast"/>
        </w:trPr>
        <w:tc>
          <w:tcPr>
            <w:tcW w:w="1153"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9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沉砂池开挖</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1.72</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1.72</w:t>
            </w:r>
          </w:p>
        </w:tc>
        <w:tc>
          <w:tcPr>
            <w:tcW w:w="37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w:t>
            </w:r>
          </w:p>
        </w:tc>
        <w:tc>
          <w:tcPr>
            <w:tcW w:w="12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基本无变化</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10" w:hRule="atLeast"/>
        </w:trPr>
        <w:tc>
          <w:tcPr>
            <w:tcW w:w="1153"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9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土袋挡墙及拆除</w:t>
            </w:r>
          </w:p>
        </w:tc>
        <w:tc>
          <w:tcPr>
            <w:tcW w:w="327" w:type="pct"/>
            <w:tcBorders>
              <w:tl2br w:val="nil"/>
              <w:tr2bl w:val="nil"/>
            </w:tcBorders>
            <w:shd w:val="clear" w:color="auto" w:fill="auto"/>
            <w:noWrap/>
            <w:tcMar>
              <w:top w:w="15" w:type="dxa"/>
              <w:left w:w="15" w:type="dxa"/>
              <w:right w:w="15" w:type="dxa"/>
            </w:tcMar>
            <w:vAlign w:val="center"/>
          </w:tcPr>
          <w:p>
            <w:pPr>
              <w:pStyle w:val="14"/>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51.2</w:t>
            </w:r>
          </w:p>
        </w:tc>
        <w:tc>
          <w:tcPr>
            <w:tcW w:w="46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51.2</w:t>
            </w:r>
          </w:p>
        </w:tc>
        <w:tc>
          <w:tcPr>
            <w:tcW w:w="37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w:t>
            </w:r>
          </w:p>
        </w:tc>
        <w:tc>
          <w:tcPr>
            <w:tcW w:w="124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基本无变化</w:t>
            </w:r>
          </w:p>
        </w:tc>
      </w:tr>
    </w:tbl>
    <w:p>
      <w:pPr>
        <w:pStyle w:val="3"/>
        <w:rPr>
          <w:rFonts w:cs="Times New Roman"/>
          <w:color w:val="auto"/>
          <w:highlight w:val="none"/>
        </w:rPr>
      </w:pPr>
      <w:r>
        <w:rPr>
          <w:rFonts w:cs="Times New Roman"/>
          <w:color w:val="auto"/>
          <w:highlight w:val="none"/>
        </w:rPr>
        <w:t>水土保持投资完成情况</w:t>
      </w:r>
      <w:bookmarkEnd w:id="18"/>
    </w:p>
    <w:p>
      <w:pPr>
        <w:pStyle w:val="4"/>
        <w:rPr>
          <w:rFonts w:cs="Times New Roman"/>
          <w:color w:val="auto"/>
          <w:highlight w:val="none"/>
        </w:rPr>
      </w:pPr>
      <w:r>
        <w:rPr>
          <w:rFonts w:cs="Times New Roman"/>
          <w:color w:val="auto"/>
          <w:highlight w:val="none"/>
        </w:rPr>
        <w:t>水土保持方案批复投资</w:t>
      </w:r>
    </w:p>
    <w:p>
      <w:pPr>
        <w:ind w:firstLine="480"/>
        <w:rPr>
          <w:rFonts w:cs="Times New Roman"/>
          <w:color w:val="auto"/>
          <w:highlight w:val="none"/>
        </w:rPr>
      </w:pPr>
      <w:r>
        <w:rPr>
          <w:rFonts w:hint="eastAsia" w:cs="Times New Roman"/>
          <w:color w:val="auto"/>
          <w:highlight w:val="none"/>
          <w:lang w:eastAsia="zh-CN"/>
        </w:rPr>
        <w:t>2016年8月29日</w:t>
      </w:r>
      <w:r>
        <w:rPr>
          <w:rFonts w:cs="Times New Roman"/>
          <w:color w:val="auto"/>
          <w:highlight w:val="none"/>
        </w:rPr>
        <w:t>，</w:t>
      </w:r>
      <w:r>
        <w:rPr>
          <w:rFonts w:hint="eastAsia" w:cs="Times New Roman"/>
          <w:color w:val="auto"/>
          <w:highlight w:val="none"/>
          <w:lang w:eastAsia="zh-CN"/>
        </w:rPr>
        <w:t>天府新区成都管委会规划建设局</w:t>
      </w:r>
      <w:r>
        <w:rPr>
          <w:rFonts w:cs="Times New Roman"/>
          <w:color w:val="auto"/>
          <w:highlight w:val="none"/>
        </w:rPr>
        <w:t>以</w:t>
      </w:r>
      <w:r>
        <w:rPr>
          <w:rFonts w:hint="eastAsia" w:cs="Times New Roman"/>
          <w:color w:val="auto"/>
          <w:highlight w:val="none"/>
          <w:lang w:eastAsia="zh-CN"/>
        </w:rPr>
        <w:t>天成管规建城复[2016]210号</w:t>
      </w:r>
      <w:r>
        <w:rPr>
          <w:rFonts w:cs="Times New Roman"/>
          <w:color w:val="auto"/>
          <w:highlight w:val="none"/>
        </w:rPr>
        <w:t>对《</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水土保持方案报告书》进行了批复，批复的水土保持投资如下：</w:t>
      </w:r>
    </w:p>
    <w:p>
      <w:pPr>
        <w:ind w:firstLine="480"/>
        <w:rPr>
          <w:rFonts w:cs="Times New Roman"/>
          <w:color w:val="auto"/>
          <w:highlight w:val="none"/>
        </w:rPr>
      </w:pPr>
      <w:r>
        <w:rPr>
          <w:rFonts w:cs="Times New Roman"/>
          <w:color w:val="auto"/>
          <w:highlight w:val="none"/>
        </w:rPr>
        <w:t>批复方案设计该工程水土保持总投资为</w:t>
      </w:r>
      <w:r>
        <w:rPr>
          <w:rFonts w:hint="eastAsia" w:cs="Times New Roman"/>
          <w:color w:val="auto"/>
          <w:highlight w:val="none"/>
          <w:lang w:eastAsia="zh-CN"/>
        </w:rPr>
        <w:t>93.18</w:t>
      </w:r>
      <w:r>
        <w:rPr>
          <w:rFonts w:cs="Times New Roman"/>
          <w:color w:val="auto"/>
          <w:highlight w:val="none"/>
        </w:rPr>
        <w:t>万元，其中水土保持工程措施</w:t>
      </w:r>
      <w:r>
        <w:rPr>
          <w:rFonts w:hint="eastAsia" w:cs="Times New Roman"/>
          <w:color w:val="auto"/>
          <w:highlight w:val="none"/>
          <w:lang w:eastAsia="zh-CN"/>
        </w:rPr>
        <w:t>17.08</w:t>
      </w:r>
      <w:r>
        <w:rPr>
          <w:rFonts w:hint="eastAsia" w:cs="Times New Roman"/>
          <w:color w:val="auto"/>
          <w:highlight w:val="none"/>
        </w:rPr>
        <w:t xml:space="preserve"> </w:t>
      </w:r>
      <w:r>
        <w:rPr>
          <w:rFonts w:cs="Times New Roman"/>
          <w:color w:val="auto"/>
          <w:highlight w:val="none"/>
        </w:rPr>
        <w:t>万元，植物措施</w:t>
      </w:r>
      <w:r>
        <w:rPr>
          <w:rFonts w:hint="eastAsia" w:cs="Times New Roman"/>
          <w:color w:val="auto"/>
          <w:highlight w:val="none"/>
          <w:lang w:eastAsia="zh-CN"/>
        </w:rPr>
        <w:t>26.08</w:t>
      </w:r>
      <w:r>
        <w:rPr>
          <w:rFonts w:cs="Times New Roman"/>
          <w:color w:val="auto"/>
          <w:highlight w:val="none"/>
        </w:rPr>
        <w:t>万元，监测措施</w:t>
      </w:r>
      <w:r>
        <w:rPr>
          <w:rFonts w:hint="eastAsia" w:cs="Times New Roman"/>
          <w:color w:val="auto"/>
          <w:highlight w:val="none"/>
        </w:rPr>
        <w:t>8.00</w:t>
      </w:r>
      <w:r>
        <w:rPr>
          <w:rFonts w:cs="Times New Roman"/>
          <w:color w:val="auto"/>
          <w:highlight w:val="none"/>
        </w:rPr>
        <w:t>万元，施工临时工程</w:t>
      </w:r>
      <w:r>
        <w:rPr>
          <w:rFonts w:hint="eastAsia" w:cs="Times New Roman"/>
          <w:color w:val="auto"/>
          <w:highlight w:val="none"/>
        </w:rPr>
        <w:t>6.11</w:t>
      </w:r>
      <w:r>
        <w:rPr>
          <w:rFonts w:cs="Times New Roman"/>
          <w:color w:val="auto"/>
          <w:highlight w:val="none"/>
        </w:rPr>
        <w:t>万元，独立费用</w:t>
      </w:r>
      <w:r>
        <w:rPr>
          <w:rFonts w:hint="eastAsia" w:cs="Times New Roman"/>
          <w:color w:val="auto"/>
          <w:highlight w:val="none"/>
        </w:rPr>
        <w:t>24.18</w:t>
      </w:r>
      <w:r>
        <w:rPr>
          <w:rFonts w:cs="Times New Roman"/>
          <w:color w:val="auto"/>
          <w:highlight w:val="none"/>
        </w:rPr>
        <w:t>万元，基本预备费</w:t>
      </w:r>
      <w:r>
        <w:rPr>
          <w:rFonts w:hint="eastAsia" w:cs="Times New Roman"/>
          <w:color w:val="auto"/>
          <w:highlight w:val="none"/>
        </w:rPr>
        <w:t>2.83</w:t>
      </w:r>
      <w:r>
        <w:rPr>
          <w:rFonts w:cs="Times New Roman"/>
          <w:color w:val="auto"/>
          <w:highlight w:val="none"/>
        </w:rPr>
        <w:t>万元，水土保持设施补偿费</w:t>
      </w:r>
      <w:r>
        <w:rPr>
          <w:rFonts w:hint="eastAsia" w:cs="Times New Roman"/>
          <w:color w:val="auto"/>
          <w:highlight w:val="none"/>
          <w:lang w:eastAsia="zh-CN"/>
        </w:rPr>
        <w:t>8.90</w:t>
      </w:r>
      <w:r>
        <w:rPr>
          <w:rFonts w:cs="Times New Roman"/>
          <w:color w:val="auto"/>
          <w:highlight w:val="none"/>
        </w:rPr>
        <w:t>万元</w:t>
      </w:r>
      <w:r>
        <w:rPr>
          <w:rFonts w:hint="eastAsia" w:cs="Times New Roman"/>
          <w:color w:val="auto"/>
          <w:highlight w:val="none"/>
        </w:rPr>
        <w:t>。</w:t>
      </w:r>
    </w:p>
    <w:p>
      <w:pPr>
        <w:pStyle w:val="4"/>
        <w:rPr>
          <w:rFonts w:cs="Times New Roman"/>
          <w:color w:val="auto"/>
          <w:highlight w:val="none"/>
        </w:rPr>
      </w:pPr>
      <w:r>
        <w:rPr>
          <w:rFonts w:cs="Times New Roman"/>
          <w:color w:val="auto"/>
          <w:highlight w:val="none"/>
        </w:rPr>
        <w:t>工程实际完成投资</w:t>
      </w:r>
    </w:p>
    <w:p>
      <w:pPr>
        <w:ind w:firstLine="480"/>
        <w:rPr>
          <w:rFonts w:cs="Times New Roman"/>
          <w:color w:val="auto"/>
          <w:highlight w:val="none"/>
        </w:rPr>
      </w:pPr>
      <w:r>
        <w:rPr>
          <w:rFonts w:cs="Times New Roman"/>
          <w:color w:val="auto"/>
          <w:highlight w:val="none"/>
        </w:rPr>
        <w:t>工程实际完成水土保持总投资</w:t>
      </w:r>
      <w:r>
        <w:rPr>
          <w:rFonts w:hint="eastAsia" w:cs="Times New Roman"/>
          <w:color w:val="auto"/>
          <w:highlight w:val="none"/>
          <w:lang w:eastAsia="zh-CN"/>
        </w:rPr>
        <w:t>94.83</w:t>
      </w:r>
      <w:r>
        <w:rPr>
          <w:rFonts w:cs="Times New Roman"/>
          <w:color w:val="auto"/>
          <w:highlight w:val="none"/>
        </w:rPr>
        <w:t>万元，其中水土保持工程措施</w:t>
      </w:r>
      <w:r>
        <w:rPr>
          <w:rFonts w:hint="eastAsia" w:cs="Times New Roman"/>
          <w:color w:val="auto"/>
          <w:highlight w:val="none"/>
          <w:lang w:eastAsia="zh-CN"/>
        </w:rPr>
        <w:t>18.58</w:t>
      </w:r>
      <w:r>
        <w:rPr>
          <w:rFonts w:cs="Times New Roman"/>
          <w:color w:val="auto"/>
          <w:highlight w:val="none"/>
        </w:rPr>
        <w:t>万元，植物措施</w:t>
      </w:r>
      <w:r>
        <w:rPr>
          <w:rFonts w:hint="eastAsia" w:cs="Times New Roman"/>
          <w:color w:val="auto"/>
          <w:highlight w:val="none"/>
          <w:lang w:eastAsia="zh-CN"/>
        </w:rPr>
        <w:t>31.90</w:t>
      </w:r>
      <w:r>
        <w:rPr>
          <w:rFonts w:cs="Times New Roman"/>
          <w:color w:val="auto"/>
          <w:highlight w:val="none"/>
        </w:rPr>
        <w:t>万元，监测措施</w:t>
      </w:r>
      <w:r>
        <w:rPr>
          <w:rFonts w:hint="eastAsia" w:cs="Times New Roman"/>
          <w:color w:val="auto"/>
          <w:highlight w:val="none"/>
          <w:lang w:val="en-US" w:eastAsia="zh-CN"/>
        </w:rPr>
        <w:t>6</w:t>
      </w:r>
      <w:r>
        <w:rPr>
          <w:rFonts w:cs="Times New Roman"/>
          <w:color w:val="auto"/>
          <w:highlight w:val="none"/>
        </w:rPr>
        <w:t>万元，施工临时工程</w:t>
      </w:r>
      <w:r>
        <w:rPr>
          <w:rFonts w:hint="eastAsia" w:cs="Times New Roman"/>
          <w:color w:val="auto"/>
          <w:highlight w:val="none"/>
        </w:rPr>
        <w:t>6.24</w:t>
      </w:r>
      <w:r>
        <w:rPr>
          <w:rFonts w:cs="Times New Roman"/>
          <w:color w:val="auto"/>
          <w:highlight w:val="none"/>
        </w:rPr>
        <w:t>万元，独立费用</w:t>
      </w:r>
      <w:r>
        <w:rPr>
          <w:rFonts w:hint="eastAsia" w:cs="Times New Roman"/>
          <w:color w:val="auto"/>
          <w:highlight w:val="none"/>
          <w:lang w:eastAsia="zh-CN"/>
        </w:rPr>
        <w:t>23.21</w:t>
      </w:r>
      <w:r>
        <w:rPr>
          <w:rFonts w:cs="Times New Roman"/>
          <w:color w:val="auto"/>
          <w:highlight w:val="none"/>
        </w:rPr>
        <w:t>万元，水土保持补偿费</w:t>
      </w:r>
      <w:r>
        <w:rPr>
          <w:rFonts w:hint="eastAsia" w:cs="Times New Roman"/>
          <w:color w:val="auto"/>
          <w:highlight w:val="none"/>
          <w:lang w:eastAsia="zh-CN"/>
        </w:rPr>
        <w:t>8.90</w:t>
      </w:r>
      <w:r>
        <w:rPr>
          <w:rFonts w:cs="Times New Roman"/>
          <w:color w:val="auto"/>
          <w:highlight w:val="none"/>
        </w:rPr>
        <w:t>万元。</w:t>
      </w:r>
    </w:p>
    <w:p>
      <w:pPr>
        <w:pStyle w:val="15"/>
        <w:rPr>
          <w:rFonts w:cs="Times New Roman"/>
          <w:color w:val="auto"/>
          <w:highlight w:val="none"/>
        </w:rPr>
      </w:pPr>
      <w:r>
        <w:rPr>
          <w:rFonts w:cs="Times New Roman"/>
          <w:color w:val="auto"/>
          <w:highlight w:val="none"/>
        </w:rPr>
        <w:t>表3.6-1 实际水土保持投资与方案设计投资对比表</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196"/>
        <w:gridCol w:w="2316"/>
        <w:gridCol w:w="1470"/>
        <w:gridCol w:w="1470"/>
        <w:gridCol w:w="1134"/>
        <w:gridCol w:w="151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序号</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项目</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设计投资（万元）</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实际投资（万元）</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差值（万元）</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变化率（%）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第一部分</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工程措施</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17.08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18.58</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1.50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8.07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一</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建构筑物防治区</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0.75</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0.75</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表土剥离</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0.75</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0.75</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二</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道路及硬化工程防治区</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15.78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17.28</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1.50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8.68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排水沟</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15.00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16.50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1.50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9.09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洗车槽</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0.50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0.50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表土回覆</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0.28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0.28</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三</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绿化防治区</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0.55</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0.55</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表土回覆</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0.55</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0.55</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第二部分</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植物措施</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26.08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31.90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5.82</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18.24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一</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道路及硬化工程防治区</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1.28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1.28</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植草砖</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1.28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1.28</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二</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绿化防治区</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24.80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30.62</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5.82</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19.01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栽植乔木</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12.00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15.12</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3.12</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20.63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栽植灌木</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12.00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14.70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2.70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18.37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直播种草</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0.80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0.80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第三部分</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监测措施</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6.00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-33.33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设备安装及观测运行</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6.00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-33.33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第四部分</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临时措施</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6.11</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6.24</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0.12</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一</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建构筑物防治区</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5.53</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5.59</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0.05</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密目网遮盖及拆除</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5.11</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5.11</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排水沟开挖</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0.42</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0.48</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0.05</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11.11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二</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道路及硬化工程防治区</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0.58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0.65</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0.07</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10.59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密目网遮盖及拆除</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0.26</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0.32</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0.06</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19.35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排水沟开挖</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0.06</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0.06</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0.01</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11.93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沉砂池开挖</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4</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土袋挡墙及拆除</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0.27</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0.27</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第五部分</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独立费用</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24.18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23.21</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-0.97</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-4.18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建设管理费</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0.18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0.21</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0.03</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14.57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水保监理费</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8.00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科研勘测设计费</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12.00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4</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水保竣工验收报告编制</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5.00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Ⅰ</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第一至第五部分合计</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81.45</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85.93</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4.47</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Ⅱ</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基本预备费</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2.83</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-2.83</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Ⅲ</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价差预备费</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0.00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Ⅳ</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水土保持补偿费</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8.90</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8.90</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672"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Ⅴ</w:t>
            </w:r>
          </w:p>
        </w:tc>
        <w:tc>
          <w:tcPr>
            <w:tcW w:w="128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工程投资合计</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93.18</w:t>
            </w:r>
          </w:p>
        </w:tc>
        <w:tc>
          <w:tcPr>
            <w:tcW w:w="77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94.83</w:t>
            </w:r>
          </w:p>
        </w:tc>
        <w:tc>
          <w:tcPr>
            <w:tcW w:w="63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1.64</w:t>
            </w:r>
          </w:p>
        </w:tc>
        <w:tc>
          <w:tcPr>
            <w:tcW w:w="84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1.73</w:t>
            </w:r>
          </w:p>
        </w:tc>
      </w:tr>
    </w:tbl>
    <w:p>
      <w:pPr>
        <w:pStyle w:val="4"/>
        <w:rPr>
          <w:rFonts w:cs="Times New Roman"/>
          <w:color w:val="auto"/>
          <w:highlight w:val="none"/>
        </w:rPr>
      </w:pPr>
      <w:r>
        <w:rPr>
          <w:rFonts w:cs="Times New Roman"/>
          <w:color w:val="auto"/>
          <w:highlight w:val="none"/>
        </w:rPr>
        <w:t>投资变化原因分析</w:t>
      </w:r>
    </w:p>
    <w:p>
      <w:pPr>
        <w:ind w:firstLine="480"/>
        <w:rPr>
          <w:rFonts w:cs="Times New Roman"/>
          <w:color w:val="auto"/>
          <w:highlight w:val="none"/>
        </w:rPr>
      </w:pPr>
      <w:r>
        <w:rPr>
          <w:rFonts w:cs="Times New Roman"/>
          <w:color w:val="auto"/>
          <w:highlight w:val="none"/>
        </w:rPr>
        <w:t>工程实际完成水土保持总投资</w:t>
      </w:r>
      <w:r>
        <w:rPr>
          <w:rFonts w:hint="eastAsia" w:cs="Times New Roman"/>
          <w:color w:val="auto"/>
          <w:highlight w:val="none"/>
          <w:lang w:eastAsia="zh-CN"/>
        </w:rPr>
        <w:t>94.83</w:t>
      </w:r>
      <w:r>
        <w:rPr>
          <w:rFonts w:cs="Times New Roman"/>
          <w:color w:val="auto"/>
          <w:highlight w:val="none"/>
        </w:rPr>
        <w:t>万元，较方案设计投资</w:t>
      </w:r>
      <w:r>
        <w:rPr>
          <w:rFonts w:hint="eastAsia" w:cs="Times New Roman"/>
          <w:color w:val="auto"/>
          <w:highlight w:val="none"/>
          <w:lang w:val="en-US" w:eastAsia="zh-CN"/>
        </w:rPr>
        <w:t>增加</w:t>
      </w:r>
      <w:r>
        <w:rPr>
          <w:rFonts w:hint="eastAsia" w:cs="Times New Roman"/>
          <w:color w:val="auto"/>
          <w:highlight w:val="none"/>
          <w:lang w:eastAsia="zh-CN"/>
        </w:rPr>
        <w:t>1.64</w:t>
      </w:r>
      <w:r>
        <w:rPr>
          <w:rFonts w:hint="eastAsia" w:cs="Times New Roman"/>
          <w:color w:val="auto"/>
          <w:highlight w:val="none"/>
        </w:rPr>
        <w:t>万元，</w:t>
      </w:r>
      <w:r>
        <w:rPr>
          <w:rFonts w:hint="eastAsia" w:cs="Times New Roman"/>
          <w:color w:val="auto"/>
          <w:highlight w:val="none"/>
          <w:lang w:val="en-US" w:eastAsia="zh-CN"/>
        </w:rPr>
        <w:t>增加</w:t>
      </w:r>
      <w:r>
        <w:rPr>
          <w:rFonts w:hint="eastAsia" w:cs="Times New Roman"/>
          <w:color w:val="auto"/>
          <w:highlight w:val="none"/>
          <w:lang w:eastAsia="zh-CN"/>
        </w:rPr>
        <w:t>1.73</w:t>
      </w:r>
      <w:r>
        <w:rPr>
          <w:rFonts w:hint="eastAsia" w:cs="Times New Roman"/>
          <w:color w:val="auto"/>
          <w:highlight w:val="none"/>
        </w:rPr>
        <w:t xml:space="preserve"> %。</w:t>
      </w:r>
    </w:p>
    <w:p>
      <w:pPr>
        <w:numPr>
          <w:ilvl w:val="0"/>
          <w:numId w:val="11"/>
        </w:numPr>
        <w:ind w:left="0" w:firstLine="480"/>
        <w:rPr>
          <w:rFonts w:cs="Times New Roman"/>
          <w:color w:val="auto"/>
          <w:highlight w:val="none"/>
        </w:rPr>
      </w:pPr>
      <w:r>
        <w:rPr>
          <w:rFonts w:cs="Times New Roman"/>
          <w:color w:val="auto"/>
          <w:highlight w:val="none"/>
        </w:rPr>
        <w:t>工程措施投资变化原因</w:t>
      </w:r>
    </w:p>
    <w:p>
      <w:pPr>
        <w:numPr>
          <w:ilvl w:val="0"/>
          <w:numId w:val="12"/>
        </w:numPr>
        <w:ind w:firstLine="480"/>
        <w:rPr>
          <w:rFonts w:cs="Times New Roman"/>
          <w:color w:val="auto"/>
          <w:highlight w:val="none"/>
        </w:rPr>
      </w:pPr>
      <w:r>
        <w:rPr>
          <w:rFonts w:hint="eastAsia" w:cs="Times New Roman"/>
          <w:color w:val="auto"/>
          <w:highlight w:val="none"/>
          <w:lang w:eastAsia="zh-CN"/>
        </w:rPr>
        <w:t>道路及硬化工程防治区</w:t>
      </w:r>
    </w:p>
    <w:p>
      <w:pPr>
        <w:ind w:firstLine="480"/>
        <w:rPr>
          <w:color w:val="auto"/>
          <w:highlight w:val="none"/>
        </w:rPr>
      </w:pPr>
      <w:r>
        <w:rPr>
          <w:rFonts w:hint="eastAsia"/>
          <w:color w:val="auto"/>
          <w:highlight w:val="none"/>
        </w:rPr>
        <w:t>该分区</w:t>
      </w:r>
      <w:r>
        <w:rPr>
          <w:rFonts w:hint="eastAsia"/>
          <w:color w:val="auto"/>
          <w:highlight w:val="none"/>
          <w:lang w:val="en-US" w:eastAsia="zh-CN"/>
        </w:rPr>
        <w:t>排水沟</w:t>
      </w:r>
      <w:r>
        <w:rPr>
          <w:rFonts w:hint="eastAsia"/>
          <w:color w:val="auto"/>
          <w:highlight w:val="none"/>
        </w:rPr>
        <w:t>的工程量根据实际进行调整，较批复方案</w:t>
      </w:r>
      <w:r>
        <w:rPr>
          <w:rFonts w:hint="eastAsia"/>
          <w:color w:val="auto"/>
          <w:highlight w:val="none"/>
          <w:lang w:val="en-US" w:eastAsia="zh-CN"/>
        </w:rPr>
        <w:t>增加</w:t>
      </w:r>
      <w:r>
        <w:rPr>
          <w:rFonts w:hint="eastAsia"/>
          <w:color w:val="auto"/>
          <w:highlight w:val="none"/>
          <w:lang w:eastAsia="zh-CN"/>
        </w:rPr>
        <w:t>，</w:t>
      </w:r>
      <w:r>
        <w:rPr>
          <w:rFonts w:hint="eastAsia"/>
          <w:color w:val="auto"/>
          <w:highlight w:val="none"/>
        </w:rPr>
        <w:t>导致该部分投资增加1.50万元。</w:t>
      </w:r>
    </w:p>
    <w:p>
      <w:pPr>
        <w:ind w:firstLine="480"/>
        <w:rPr>
          <w:color w:val="auto"/>
          <w:highlight w:val="none"/>
        </w:rPr>
      </w:pPr>
      <w:r>
        <w:rPr>
          <w:rFonts w:hint="eastAsia"/>
          <w:color w:val="auto"/>
          <w:highlight w:val="none"/>
        </w:rPr>
        <w:t>本项目工程措施完成期间单价较批复方案有上涨，措施工程量根据实际进行调整，工程措施部分综合投资较批复方案增加约</w:t>
      </w:r>
      <w:r>
        <w:rPr>
          <w:rFonts w:hint="eastAsia"/>
          <w:color w:val="auto"/>
          <w:highlight w:val="none"/>
          <w:lang w:val="en-US" w:eastAsia="zh-CN"/>
        </w:rPr>
        <w:t>1.50</w:t>
      </w:r>
      <w:r>
        <w:rPr>
          <w:rFonts w:hint="eastAsia"/>
          <w:color w:val="auto"/>
          <w:highlight w:val="none"/>
        </w:rPr>
        <w:t>万元，增加约8.07 %。</w:t>
      </w:r>
    </w:p>
    <w:p>
      <w:pPr>
        <w:numPr>
          <w:ilvl w:val="0"/>
          <w:numId w:val="11"/>
        </w:numPr>
        <w:ind w:left="0" w:firstLine="480"/>
        <w:rPr>
          <w:rFonts w:cs="Times New Roman"/>
          <w:color w:val="auto"/>
          <w:highlight w:val="none"/>
        </w:rPr>
      </w:pPr>
      <w:r>
        <w:rPr>
          <w:rFonts w:cs="Times New Roman"/>
          <w:color w:val="auto"/>
          <w:highlight w:val="none"/>
        </w:rPr>
        <w:t>植物措施投资变化及原因分析</w:t>
      </w:r>
    </w:p>
    <w:p>
      <w:pPr>
        <w:numPr>
          <w:ilvl w:val="0"/>
          <w:numId w:val="13"/>
        </w:numPr>
        <w:ind w:firstLine="480"/>
        <w:rPr>
          <w:rFonts w:cs="Times New Roman"/>
          <w:color w:val="auto"/>
          <w:highlight w:val="none"/>
        </w:rPr>
      </w:pPr>
      <w:r>
        <w:rPr>
          <w:rFonts w:hint="eastAsia" w:cs="Times New Roman"/>
          <w:color w:val="auto"/>
          <w:highlight w:val="none"/>
          <w:lang w:eastAsia="zh-CN"/>
        </w:rPr>
        <w:t>绿化防治区</w:t>
      </w:r>
    </w:p>
    <w:p>
      <w:pPr>
        <w:ind w:firstLine="480"/>
        <w:rPr>
          <w:rFonts w:cs="Times New Roman"/>
          <w:color w:val="auto"/>
          <w:highlight w:val="none"/>
        </w:rPr>
      </w:pPr>
      <w:r>
        <w:rPr>
          <w:rFonts w:hint="eastAsia" w:cs="Times New Roman"/>
          <w:color w:val="auto"/>
          <w:highlight w:val="none"/>
          <w:lang w:val="en-US" w:eastAsia="zh-CN"/>
        </w:rPr>
        <w:t>该区</w:t>
      </w:r>
      <w:r>
        <w:rPr>
          <w:rFonts w:hint="eastAsia" w:cs="Times New Roman"/>
          <w:color w:val="auto"/>
          <w:highlight w:val="none"/>
        </w:rPr>
        <w:t>植物措施工程量投资较方案设计</w:t>
      </w:r>
      <w:r>
        <w:rPr>
          <w:rFonts w:hint="eastAsia" w:cs="Times New Roman"/>
          <w:color w:val="auto"/>
          <w:highlight w:val="none"/>
          <w:lang w:val="en-US" w:eastAsia="zh-CN"/>
        </w:rPr>
        <w:t>调整</w:t>
      </w:r>
      <w:r>
        <w:rPr>
          <w:rFonts w:hint="eastAsia" w:cs="Times New Roman"/>
          <w:color w:val="auto"/>
          <w:highlight w:val="none"/>
        </w:rPr>
        <w:t>，整体投资较批复方案</w:t>
      </w:r>
      <w:r>
        <w:rPr>
          <w:rFonts w:hint="eastAsia" w:cs="Times New Roman"/>
          <w:color w:val="auto"/>
          <w:highlight w:val="none"/>
          <w:lang w:val="en-US" w:eastAsia="zh-CN"/>
        </w:rPr>
        <w:t>增加</w:t>
      </w:r>
      <w:r>
        <w:rPr>
          <w:rFonts w:hint="eastAsia" w:cs="Times New Roman"/>
          <w:color w:val="auto"/>
          <w:highlight w:val="none"/>
        </w:rPr>
        <w:t>5.82 万元，增加约19.01 %。</w:t>
      </w:r>
    </w:p>
    <w:p>
      <w:pPr>
        <w:numPr>
          <w:ilvl w:val="0"/>
          <w:numId w:val="11"/>
        </w:numPr>
        <w:ind w:left="0" w:firstLine="480"/>
        <w:rPr>
          <w:rFonts w:cs="Times New Roman"/>
          <w:color w:val="auto"/>
          <w:highlight w:val="none"/>
        </w:rPr>
      </w:pPr>
      <w:r>
        <w:rPr>
          <w:rFonts w:hint="eastAsia" w:cs="Times New Roman"/>
          <w:color w:val="auto"/>
          <w:highlight w:val="none"/>
        </w:rPr>
        <w:t>监测措施</w:t>
      </w:r>
      <w:r>
        <w:rPr>
          <w:rFonts w:cs="Times New Roman"/>
          <w:color w:val="auto"/>
          <w:highlight w:val="none"/>
        </w:rPr>
        <w:t>投资变化及原因分析</w:t>
      </w:r>
    </w:p>
    <w:p>
      <w:pPr>
        <w:ind w:firstLine="480"/>
        <w:rPr>
          <w:rFonts w:cs="Times New Roman"/>
          <w:color w:val="auto"/>
          <w:highlight w:val="none"/>
        </w:rPr>
      </w:pPr>
      <w:r>
        <w:rPr>
          <w:rFonts w:hint="eastAsia" w:cs="Times New Roman"/>
          <w:color w:val="auto"/>
          <w:highlight w:val="none"/>
        </w:rPr>
        <w:t>监测措施根据实际发生监测费用，较</w:t>
      </w:r>
      <w:r>
        <w:rPr>
          <w:rFonts w:cs="Times New Roman"/>
          <w:color w:val="auto"/>
          <w:highlight w:val="none"/>
        </w:rPr>
        <w:t>批复方案</w:t>
      </w:r>
      <w:r>
        <w:rPr>
          <w:rFonts w:hint="eastAsia" w:cs="Times New Roman"/>
          <w:color w:val="auto"/>
          <w:highlight w:val="none"/>
        </w:rPr>
        <w:t>减少</w:t>
      </w:r>
      <w:r>
        <w:rPr>
          <w:rFonts w:hint="eastAsia" w:cs="Times New Roman"/>
          <w:color w:val="auto"/>
          <w:highlight w:val="none"/>
          <w:lang w:val="en-US" w:eastAsia="zh-CN"/>
        </w:rPr>
        <w:t>2</w:t>
      </w:r>
      <w:r>
        <w:rPr>
          <w:rFonts w:hint="eastAsia" w:cs="Times New Roman"/>
          <w:color w:val="auto"/>
          <w:highlight w:val="none"/>
        </w:rPr>
        <w:t>万元，减少约</w:t>
      </w:r>
      <w:r>
        <w:rPr>
          <w:rFonts w:hint="eastAsia" w:cs="Times New Roman"/>
          <w:color w:val="auto"/>
          <w:highlight w:val="none"/>
          <w:lang w:val="en-US" w:eastAsia="zh-CN"/>
        </w:rPr>
        <w:t>33.3</w:t>
      </w:r>
      <w:r>
        <w:rPr>
          <w:rFonts w:hint="eastAsia" w:cs="Times New Roman"/>
          <w:color w:val="auto"/>
          <w:highlight w:val="none"/>
        </w:rPr>
        <w:t>%</w:t>
      </w:r>
      <w:r>
        <w:rPr>
          <w:rFonts w:cs="Times New Roman"/>
          <w:color w:val="auto"/>
          <w:highlight w:val="none"/>
        </w:rPr>
        <w:t>。</w:t>
      </w:r>
    </w:p>
    <w:p>
      <w:pPr>
        <w:numPr>
          <w:ilvl w:val="0"/>
          <w:numId w:val="11"/>
        </w:numPr>
        <w:ind w:left="0" w:firstLine="480"/>
        <w:rPr>
          <w:rFonts w:cs="Times New Roman"/>
          <w:color w:val="auto"/>
          <w:highlight w:val="none"/>
        </w:rPr>
      </w:pPr>
      <w:r>
        <w:rPr>
          <w:rFonts w:hint="eastAsia" w:cs="Times New Roman"/>
          <w:color w:val="auto"/>
          <w:highlight w:val="none"/>
        </w:rPr>
        <w:t>施工临时工程费用</w:t>
      </w:r>
    </w:p>
    <w:p>
      <w:pPr>
        <w:numPr>
          <w:ilvl w:val="0"/>
          <w:numId w:val="14"/>
        </w:numPr>
        <w:ind w:firstLine="480"/>
        <w:rPr>
          <w:rFonts w:cs="Times New Roman"/>
          <w:color w:val="auto"/>
          <w:highlight w:val="none"/>
        </w:rPr>
      </w:pPr>
      <w:r>
        <w:rPr>
          <w:rFonts w:hint="eastAsia" w:cs="Times New Roman"/>
          <w:color w:val="auto"/>
          <w:highlight w:val="none"/>
          <w:lang w:eastAsia="zh-CN"/>
        </w:rPr>
        <w:t>建构筑物防治区</w:t>
      </w:r>
    </w:p>
    <w:p>
      <w:pPr>
        <w:ind w:firstLine="480"/>
        <w:rPr>
          <w:color w:val="auto"/>
          <w:highlight w:val="none"/>
        </w:rPr>
      </w:pPr>
      <w:r>
        <w:rPr>
          <w:rFonts w:hint="eastAsia"/>
          <w:color w:val="auto"/>
          <w:highlight w:val="none"/>
        </w:rPr>
        <w:t>该分区临时排水沟工程量</w:t>
      </w:r>
      <w:r>
        <w:rPr>
          <w:rFonts w:hint="eastAsia"/>
          <w:color w:val="auto"/>
          <w:highlight w:val="none"/>
          <w:lang w:val="en-US" w:eastAsia="zh-CN"/>
        </w:rPr>
        <w:t>根据实际进行调整</w:t>
      </w:r>
      <w:r>
        <w:rPr>
          <w:rFonts w:hint="eastAsia"/>
          <w:color w:val="auto"/>
          <w:highlight w:val="none"/>
        </w:rPr>
        <w:t>；该部分投资增加该部分投资增加0.</w:t>
      </w:r>
      <w:r>
        <w:rPr>
          <w:rFonts w:hint="eastAsia"/>
          <w:color w:val="auto"/>
          <w:highlight w:val="none"/>
          <w:lang w:val="en-US" w:eastAsia="zh-CN"/>
        </w:rPr>
        <w:t>05</w:t>
      </w:r>
      <w:r>
        <w:rPr>
          <w:rFonts w:hint="eastAsia"/>
          <w:color w:val="auto"/>
          <w:highlight w:val="none"/>
        </w:rPr>
        <w:t>万元，增加11.11 %。</w:t>
      </w:r>
    </w:p>
    <w:p>
      <w:pPr>
        <w:numPr>
          <w:ilvl w:val="0"/>
          <w:numId w:val="14"/>
        </w:numPr>
        <w:ind w:firstLine="480"/>
        <w:rPr>
          <w:rFonts w:cs="Times New Roman"/>
          <w:color w:val="auto"/>
          <w:highlight w:val="none"/>
        </w:rPr>
      </w:pPr>
      <w:r>
        <w:rPr>
          <w:rFonts w:hint="eastAsia" w:cs="Times New Roman"/>
          <w:color w:val="auto"/>
          <w:highlight w:val="none"/>
          <w:lang w:eastAsia="zh-CN"/>
        </w:rPr>
        <w:t>道路及硬化工程防治区</w:t>
      </w:r>
    </w:p>
    <w:p>
      <w:pPr>
        <w:ind w:firstLine="480"/>
        <w:rPr>
          <w:color w:val="auto"/>
          <w:highlight w:val="none"/>
        </w:rPr>
      </w:pPr>
      <w:r>
        <w:rPr>
          <w:rFonts w:hint="eastAsia"/>
          <w:color w:val="auto"/>
          <w:highlight w:val="none"/>
        </w:rPr>
        <w:t>该分区</w:t>
      </w:r>
      <w:r>
        <w:rPr>
          <w:rFonts w:hint="eastAsia"/>
          <w:color w:val="auto"/>
          <w:highlight w:val="none"/>
          <w:lang w:val="en-US" w:eastAsia="zh-CN"/>
        </w:rPr>
        <w:t>密目网及临时排水沟</w:t>
      </w:r>
      <w:r>
        <w:rPr>
          <w:rFonts w:hint="eastAsia"/>
          <w:color w:val="auto"/>
          <w:highlight w:val="none"/>
        </w:rPr>
        <w:t>工程量根据实际进行调整，较批复方案增加；人工及材料单价较批复方案上涨；该部分投资增加该部分投资增加0.07 万元，增加10.59 %。</w:t>
      </w:r>
    </w:p>
    <w:p>
      <w:pPr>
        <w:numPr>
          <w:ilvl w:val="0"/>
          <w:numId w:val="11"/>
        </w:numPr>
        <w:ind w:left="0" w:firstLine="480"/>
        <w:rPr>
          <w:rFonts w:cs="Times New Roman"/>
          <w:color w:val="auto"/>
          <w:highlight w:val="none"/>
        </w:rPr>
      </w:pPr>
      <w:r>
        <w:rPr>
          <w:rFonts w:cs="Times New Roman"/>
          <w:color w:val="auto"/>
          <w:highlight w:val="none"/>
        </w:rPr>
        <w:t>独立费用</w:t>
      </w:r>
    </w:p>
    <w:p>
      <w:pPr>
        <w:ind w:firstLine="480"/>
        <w:rPr>
          <w:rFonts w:cs="Times New Roman"/>
          <w:color w:val="auto"/>
          <w:highlight w:val="none"/>
        </w:rPr>
      </w:pPr>
      <w:r>
        <w:rPr>
          <w:rFonts w:cs="Times New Roman"/>
          <w:color w:val="auto"/>
          <w:highlight w:val="none"/>
        </w:rPr>
        <w:t>在实际合同执行过程中进行了调整，</w:t>
      </w:r>
      <w:r>
        <w:rPr>
          <w:rFonts w:hint="eastAsia" w:cs="Times New Roman"/>
          <w:color w:val="auto"/>
          <w:highlight w:val="none"/>
        </w:rPr>
        <w:t>较</w:t>
      </w:r>
      <w:r>
        <w:rPr>
          <w:rFonts w:cs="Times New Roman"/>
          <w:color w:val="auto"/>
          <w:highlight w:val="none"/>
        </w:rPr>
        <w:t>与批复方案</w:t>
      </w:r>
      <w:r>
        <w:rPr>
          <w:rFonts w:hint="eastAsia" w:cs="Times New Roman"/>
          <w:color w:val="auto"/>
          <w:highlight w:val="none"/>
        </w:rPr>
        <w:t>减少</w:t>
      </w:r>
      <w:r>
        <w:rPr>
          <w:rFonts w:hint="eastAsia" w:cs="Times New Roman"/>
          <w:color w:val="auto"/>
          <w:highlight w:val="none"/>
          <w:lang w:val="en-US" w:eastAsia="zh-CN"/>
        </w:rPr>
        <w:t>0.97</w:t>
      </w:r>
      <w:r>
        <w:rPr>
          <w:rFonts w:hint="eastAsia" w:cs="Times New Roman"/>
          <w:color w:val="auto"/>
          <w:highlight w:val="none"/>
        </w:rPr>
        <w:t>万，减少</w:t>
      </w:r>
      <w:r>
        <w:rPr>
          <w:rFonts w:hint="eastAsia" w:cs="Times New Roman"/>
          <w:color w:val="auto"/>
          <w:highlight w:val="none"/>
          <w:lang w:val="en-US" w:eastAsia="zh-CN"/>
        </w:rPr>
        <w:t>4.18</w:t>
      </w:r>
      <w:r>
        <w:rPr>
          <w:rFonts w:hint="eastAsia" w:cs="Times New Roman"/>
          <w:color w:val="auto"/>
          <w:highlight w:val="none"/>
        </w:rPr>
        <w:t>%</w:t>
      </w:r>
      <w:r>
        <w:rPr>
          <w:rFonts w:cs="Times New Roman"/>
          <w:color w:val="auto"/>
          <w:highlight w:val="none"/>
        </w:rPr>
        <w:t>。</w:t>
      </w:r>
    </w:p>
    <w:p>
      <w:pPr>
        <w:numPr>
          <w:ilvl w:val="0"/>
          <w:numId w:val="11"/>
        </w:numPr>
        <w:ind w:left="0" w:firstLine="480"/>
        <w:rPr>
          <w:rFonts w:cs="Times New Roman"/>
          <w:color w:val="auto"/>
          <w:highlight w:val="none"/>
        </w:rPr>
      </w:pPr>
      <w:r>
        <w:rPr>
          <w:rFonts w:cs="Times New Roman"/>
          <w:color w:val="auto"/>
          <w:highlight w:val="none"/>
        </w:rPr>
        <w:t>基本预备费</w:t>
      </w:r>
    </w:p>
    <w:p>
      <w:pPr>
        <w:ind w:firstLine="480"/>
        <w:rPr>
          <w:rFonts w:cs="Times New Roman"/>
          <w:color w:val="auto"/>
          <w:highlight w:val="none"/>
        </w:rPr>
      </w:pPr>
      <w:r>
        <w:rPr>
          <w:rFonts w:cs="Times New Roman"/>
          <w:color w:val="auto"/>
          <w:highlight w:val="none"/>
        </w:rPr>
        <w:t>基本预备费实际</w:t>
      </w:r>
      <w:r>
        <w:rPr>
          <w:rFonts w:hint="eastAsia" w:cs="Times New Roman"/>
          <w:color w:val="auto"/>
          <w:highlight w:val="none"/>
        </w:rPr>
        <w:t>未发生。</w:t>
      </w:r>
    </w:p>
    <w:p>
      <w:pPr>
        <w:numPr>
          <w:ilvl w:val="0"/>
          <w:numId w:val="11"/>
        </w:numPr>
        <w:ind w:left="0" w:firstLine="480"/>
        <w:rPr>
          <w:rFonts w:cs="Times New Roman"/>
          <w:color w:val="auto"/>
          <w:highlight w:val="none"/>
        </w:rPr>
      </w:pPr>
      <w:r>
        <w:rPr>
          <w:rFonts w:cs="Times New Roman"/>
          <w:color w:val="auto"/>
          <w:highlight w:val="none"/>
        </w:rPr>
        <w:t>水土保持补偿费</w:t>
      </w:r>
    </w:p>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auto"/>
          <w:highlight w:val="none"/>
        </w:rPr>
        <w:t>建设单位</w:t>
      </w:r>
      <w:r>
        <w:rPr>
          <w:rFonts w:hint="eastAsia" w:cs="Times New Roman"/>
          <w:color w:val="auto"/>
          <w:highlight w:val="none"/>
        </w:rPr>
        <w:t>已按</w:t>
      </w:r>
      <w:r>
        <w:rPr>
          <w:rFonts w:cs="Times New Roman"/>
          <w:color w:val="auto"/>
          <w:highlight w:val="none"/>
        </w:rPr>
        <w:t>批复方案足额缴纳了水土保持补偿费。详见附件。</w:t>
      </w:r>
    </w:p>
    <w:p>
      <w:pPr>
        <w:pStyle w:val="2"/>
        <w:rPr>
          <w:rFonts w:cs="Times New Roman"/>
          <w:color w:val="auto"/>
          <w:highlight w:val="none"/>
        </w:rPr>
      </w:pPr>
      <w:bookmarkStart w:id="19" w:name="_Toc10840"/>
      <w:r>
        <w:rPr>
          <w:rFonts w:cs="Times New Roman"/>
          <w:color w:val="auto"/>
          <w:highlight w:val="none"/>
        </w:rPr>
        <w:t>水土保持工程质量</w:t>
      </w:r>
      <w:bookmarkEnd w:id="19"/>
    </w:p>
    <w:p>
      <w:pPr>
        <w:pStyle w:val="3"/>
        <w:rPr>
          <w:rFonts w:cs="Times New Roman"/>
          <w:color w:val="auto"/>
          <w:highlight w:val="none"/>
        </w:rPr>
      </w:pPr>
      <w:bookmarkStart w:id="20" w:name="_Toc24513"/>
      <w:r>
        <w:rPr>
          <w:rFonts w:cs="Times New Roman"/>
          <w:color w:val="auto"/>
          <w:highlight w:val="none"/>
        </w:rPr>
        <w:t>质量管理体系</w:t>
      </w:r>
      <w:bookmarkEnd w:id="20"/>
    </w:p>
    <w:p>
      <w:pPr>
        <w:ind w:firstLine="480"/>
        <w:rPr>
          <w:rFonts w:cs="Times New Roman"/>
          <w:color w:val="auto"/>
          <w:highlight w:val="none"/>
        </w:rPr>
      </w:pPr>
      <w:r>
        <w:rPr>
          <w:rFonts w:cs="Times New Roman"/>
          <w:color w:val="auto"/>
          <w:highlight w:val="none"/>
        </w:rPr>
        <w:t>水土保持工程的质量不仅仅影响到防治责任范围内及周边地区生态环境的保护和改善，而且直接关系到主体工程本身的安全与正常运行，因此，保证工程质量，责任重于泰山。为保障工程施工质量，在施工过程中，建立了施工单位保证，监理单位监控，建设单位负责、政府部门监督的质量管理体系，而且各参建单位都建立了确保工程质量要求的措施及质量控制体系。</w:t>
      </w:r>
    </w:p>
    <w:p>
      <w:pPr>
        <w:pStyle w:val="4"/>
        <w:rPr>
          <w:rFonts w:cs="Times New Roman"/>
          <w:color w:val="auto"/>
          <w:highlight w:val="none"/>
        </w:rPr>
      </w:pPr>
      <w:r>
        <w:rPr>
          <w:rFonts w:cs="Times New Roman"/>
          <w:color w:val="auto"/>
          <w:highlight w:val="none"/>
        </w:rPr>
        <w:t>建设单位质量保证体系和管理制度</w:t>
      </w:r>
    </w:p>
    <w:p>
      <w:pPr>
        <w:ind w:firstLine="480"/>
        <w:rPr>
          <w:rFonts w:cs="Times New Roman"/>
          <w:color w:val="auto"/>
          <w:highlight w:val="none"/>
        </w:rPr>
      </w:pPr>
      <w:r>
        <w:rPr>
          <w:rFonts w:cs="Times New Roman"/>
          <w:color w:val="auto"/>
          <w:highlight w:val="none"/>
        </w:rPr>
        <w:t>建设单位对本项目的管理坚持“业主是核心、设计是灵魂、监理是关键、承包商是保证、地方是保障”的原则。一是强调业主在工程建设中的主导、控制和协调作用；二是坚持对监理工作实行定期检查考核，加强了现场技术力量和巡查、旁站，保证了现场工作的需要；三是通过开展履约考核、流动红旗评比等活动，强化了安全、质量、进度、投资、环保水保及文明施工管理；四是充分发挥了设计的龙头作用，强化设计质量，确保了设计图纸、设计文件、现场服务满足建设需要；五是紧紧依靠地方，坚持“理解、互信、共赢”的原则，加强与地方的沟通协调，为工程建设创造良好的外部环境。建设单位建立的完善的质量管理工作制度，工程各参建方的质量得到了保证。</w:t>
      </w:r>
    </w:p>
    <w:p>
      <w:pPr>
        <w:pStyle w:val="4"/>
        <w:rPr>
          <w:rFonts w:cs="Times New Roman"/>
          <w:color w:val="auto"/>
          <w:highlight w:val="none"/>
        </w:rPr>
      </w:pPr>
      <w:r>
        <w:rPr>
          <w:rFonts w:cs="Times New Roman"/>
          <w:color w:val="auto"/>
          <w:highlight w:val="none"/>
        </w:rPr>
        <w:t>设计单位质量保证体系和管理制度</w:t>
      </w:r>
    </w:p>
    <w:p>
      <w:pPr>
        <w:ind w:firstLine="480"/>
        <w:rPr>
          <w:rFonts w:cs="Times New Roman"/>
          <w:color w:val="auto"/>
          <w:highlight w:val="none"/>
        </w:rPr>
      </w:pPr>
      <w:r>
        <w:rPr>
          <w:rFonts w:cs="Times New Roman"/>
          <w:color w:val="auto"/>
          <w:highlight w:val="none"/>
        </w:rPr>
        <w:t>设计单位根据设计质量控制程序和要求，负责设计图纸的交底，配合建设单位工程部编写图纸交底纪要，处理施工单位提出的关于工程质量方面的联系单，参加现场工程质量的验收等工作。设计产品按照编写、校核、审查、核定、批准五级程序严格执行逐级审签制度，确保产品质量。</w:t>
      </w:r>
    </w:p>
    <w:p>
      <w:pPr>
        <w:ind w:firstLine="480"/>
        <w:rPr>
          <w:rFonts w:cs="Times New Roman"/>
          <w:color w:val="auto"/>
          <w:highlight w:val="none"/>
        </w:rPr>
      </w:pPr>
      <w:r>
        <w:rPr>
          <w:rFonts w:cs="Times New Roman"/>
          <w:color w:val="auto"/>
          <w:highlight w:val="none"/>
        </w:rPr>
        <w:t>设计单位质量管理体系较为完善，产品校审制度严格，有效保证了设计产品的质量。</w:t>
      </w:r>
    </w:p>
    <w:p>
      <w:pPr>
        <w:pStyle w:val="4"/>
        <w:rPr>
          <w:rFonts w:cs="Times New Roman"/>
          <w:color w:val="auto"/>
          <w:highlight w:val="none"/>
        </w:rPr>
      </w:pPr>
      <w:r>
        <w:rPr>
          <w:rFonts w:cs="Times New Roman"/>
          <w:color w:val="auto"/>
          <w:highlight w:val="none"/>
        </w:rPr>
        <w:t>监理单位质量保证体系和管理制度</w:t>
      </w:r>
    </w:p>
    <w:p>
      <w:pPr>
        <w:ind w:firstLine="480"/>
        <w:rPr>
          <w:rFonts w:cs="Times New Roman"/>
          <w:color w:val="auto"/>
          <w:highlight w:val="none"/>
        </w:rPr>
      </w:pPr>
      <w:r>
        <w:rPr>
          <w:rFonts w:cs="Times New Roman"/>
          <w:color w:val="auto"/>
          <w:highlight w:val="none"/>
        </w:rPr>
        <w:t>本项目在建设过程中建设单位委托主体工程监理将将水土保持工作纳入其工作范围，监理单位受托对工程质量进行全面控制，实行总监负责制，对所监理的工程承担监理责任。监理单位建立健全质量控制体系，制定了监理规划、细则、制度和岗位职责。并制定了监理工作计划等，规定了监理程序，所运用的常规检测技术和方法等。</w:t>
      </w:r>
    </w:p>
    <w:p>
      <w:pPr>
        <w:ind w:firstLine="480"/>
        <w:rPr>
          <w:rFonts w:cs="Times New Roman"/>
          <w:color w:val="auto"/>
          <w:highlight w:val="none"/>
        </w:rPr>
      </w:pPr>
      <w:r>
        <w:rPr>
          <w:rFonts w:cs="Times New Roman"/>
          <w:color w:val="auto"/>
          <w:highlight w:val="none"/>
        </w:rPr>
        <w:t>监理单位严格执行各项监理制度，对水土保持工程措施和植物措施在内的整个水土保持工程实施了整体质量、工程进度和投资总额控制，有效保证了工程质量。</w:t>
      </w:r>
    </w:p>
    <w:p>
      <w:pPr>
        <w:pStyle w:val="4"/>
        <w:rPr>
          <w:rFonts w:cs="Times New Roman"/>
          <w:color w:val="auto"/>
          <w:highlight w:val="none"/>
        </w:rPr>
      </w:pPr>
      <w:r>
        <w:rPr>
          <w:rFonts w:cs="Times New Roman"/>
          <w:color w:val="auto"/>
          <w:highlight w:val="none"/>
        </w:rPr>
        <w:t>质量监督单位质量保证体系和管理制度</w:t>
      </w:r>
    </w:p>
    <w:p>
      <w:pPr>
        <w:ind w:firstLine="480"/>
        <w:rPr>
          <w:rFonts w:cs="Times New Roman"/>
          <w:color w:val="auto"/>
          <w:highlight w:val="none"/>
        </w:rPr>
      </w:pPr>
      <w:r>
        <w:rPr>
          <w:rFonts w:cs="Times New Roman"/>
          <w:color w:val="auto"/>
          <w:highlight w:val="none"/>
        </w:rPr>
        <w:t>本项目在建设初期就以“质量监督促质量提高，从而向运行移交高质量的工程，推动企业走质量效益型道路，充分发挥投资效益，确保实现达标投产”为宗旨，制定了《工程质量监督工作标准》。标准适用于本工程全部建设工程项目，监督范围包括全部建筑、安装工程及其配套、辅助和附属工程。在工程施工中，公司颁发了《</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建设管理处行政督查工作规则》，对</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质量进行全面监督，并按《建设工程质量管理条例》履行责任和义务。在</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的建设过程中，为落实工程质量监督、检验、检测及验收工作，质量监督站要求各承建单位必须按规定办理有关监督手续，填报《工程质量监督登记表》，并按《建设工程质量监督书》和《工程质量监督计划》的要求接受监督检查。不定期深入现场工地检查工程质量、对重大质量事故处理意见的审查、签发质量低劣工程的停工令、主持重大质量事故分析会、掌握整个工程质量动态、组织或参加重大项目质量监督检查及等级的评定工作，对工程施工质量和各管理环节等方面做出总体评价。</w:t>
      </w:r>
    </w:p>
    <w:p>
      <w:pPr>
        <w:ind w:firstLine="480"/>
        <w:rPr>
          <w:rFonts w:cs="Times New Roman"/>
          <w:color w:val="auto"/>
          <w:highlight w:val="none"/>
        </w:rPr>
      </w:pPr>
      <w:r>
        <w:rPr>
          <w:rFonts w:hint="eastAsia" w:cs="Times New Roman"/>
          <w:color w:val="auto"/>
          <w:highlight w:val="none"/>
          <w:lang w:eastAsia="zh-CN"/>
        </w:rPr>
        <w:t>上海千缘汽车车身模具有限公司关于汽车零部件制造的项目</w:t>
      </w:r>
      <w:r>
        <w:rPr>
          <w:rFonts w:cs="Times New Roman"/>
          <w:color w:val="auto"/>
          <w:highlight w:val="none"/>
        </w:rPr>
        <w:t>在建设期间，各级主管部门专程到工地进行监督检查和帮助指导，协助</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开展防治责任范围内的水土保持工作，逐步增强了各参建单位的水土保持意识，落实了各项水土保持设施的设计、施工和监理，对做好</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水土保持工作，起到了积极、有效的作用。</w:t>
      </w:r>
    </w:p>
    <w:p>
      <w:pPr>
        <w:pStyle w:val="4"/>
        <w:rPr>
          <w:rFonts w:cs="Times New Roman"/>
          <w:color w:val="auto"/>
          <w:highlight w:val="none"/>
        </w:rPr>
      </w:pPr>
      <w:r>
        <w:rPr>
          <w:rFonts w:cs="Times New Roman"/>
          <w:color w:val="auto"/>
          <w:highlight w:val="none"/>
        </w:rPr>
        <w:t>施工单位质量保证体系和管理制度</w:t>
      </w:r>
    </w:p>
    <w:p>
      <w:pPr>
        <w:ind w:firstLine="480"/>
        <w:rPr>
          <w:rFonts w:cs="Times New Roman"/>
          <w:color w:val="auto"/>
          <w:highlight w:val="none"/>
        </w:rPr>
      </w:pPr>
      <w:r>
        <w:rPr>
          <w:rFonts w:cs="Times New Roman"/>
          <w:color w:val="auto"/>
          <w:highlight w:val="none"/>
        </w:rPr>
        <w:t>施工单位实行项目（专业）管理，项目经理负责制，对所承担的工程施工质量负直接责任（机电设备供应商对其设备的设计、制造及指导安装质量负责）。承包单位都按照施工合同的要求建立了包括质量管理、质量控制、质量保证等在内的质量保证体系。</w:t>
      </w:r>
    </w:p>
    <w:p>
      <w:pPr>
        <w:ind w:firstLine="480"/>
        <w:rPr>
          <w:rFonts w:cs="Times New Roman"/>
          <w:color w:val="auto"/>
          <w:highlight w:val="none"/>
        </w:rPr>
      </w:pPr>
      <w:r>
        <w:rPr>
          <w:rFonts w:cs="Times New Roman"/>
          <w:color w:val="auto"/>
          <w:highlight w:val="none"/>
        </w:rPr>
        <w:t>承包单位按规程、规范、技术标准和合同文件要求进行施工，严格执行“三检”制度，对施工工序质量严格管理；按规定对工程材料、中间产品、设备和备件进行试验、检测和验收；对单元工程质量进行检验与评定；及时整理技术资料、试验检测成果和有关资料，并按档案资料要求及时归档；按有关规定向监理报告质量事故和质量缺陷，并按要求进行质量处理；对职工加强技术培训和质量意识教育。承包单位质量保证体系健全，并能正常运行。施工单位建立了完善的质量管理体系，确保水土保持工程施工质量。</w:t>
      </w:r>
    </w:p>
    <w:p>
      <w:pPr>
        <w:pStyle w:val="3"/>
        <w:rPr>
          <w:rFonts w:cs="Times New Roman"/>
          <w:color w:val="auto"/>
          <w:highlight w:val="none"/>
        </w:rPr>
      </w:pPr>
      <w:bookmarkStart w:id="21" w:name="_Toc26229"/>
      <w:r>
        <w:rPr>
          <w:rFonts w:cs="Times New Roman"/>
          <w:color w:val="auto"/>
          <w:highlight w:val="none"/>
        </w:rPr>
        <w:t>各防治分区水土保持工程质量评定</w:t>
      </w:r>
      <w:bookmarkEnd w:id="21"/>
    </w:p>
    <w:p>
      <w:pPr>
        <w:pStyle w:val="4"/>
        <w:rPr>
          <w:rFonts w:cs="Times New Roman"/>
          <w:color w:val="auto"/>
          <w:highlight w:val="none"/>
        </w:rPr>
      </w:pPr>
      <w:r>
        <w:rPr>
          <w:rFonts w:cs="Times New Roman"/>
          <w:color w:val="auto"/>
          <w:highlight w:val="none"/>
        </w:rPr>
        <w:t>项目划分及结果</w:t>
      </w:r>
    </w:p>
    <w:p>
      <w:pPr>
        <w:pStyle w:val="5"/>
        <w:rPr>
          <w:rFonts w:cs="Times New Roman"/>
          <w:color w:val="auto"/>
          <w:highlight w:val="none"/>
        </w:rPr>
      </w:pPr>
      <w:r>
        <w:rPr>
          <w:rFonts w:cs="Times New Roman"/>
          <w:color w:val="auto"/>
          <w:highlight w:val="none"/>
        </w:rPr>
        <w:t>划分依据</w:t>
      </w:r>
    </w:p>
    <w:p>
      <w:pPr>
        <w:ind w:firstLine="480"/>
        <w:rPr>
          <w:rFonts w:cs="Times New Roman"/>
          <w:color w:val="auto"/>
          <w:highlight w:val="none"/>
        </w:rPr>
      </w:pP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水土保持工程划分是根据《水土保持工程质量评定规程》（SL336-2006）、《开发建设项目水土保持设施验收技术规程》（GB/T22490-2008）和《</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水土保持方案报告书》（报批稿）以及工程建设的合同规范、技术标准，并结合工程建设的具体情况制定。</w:t>
      </w:r>
    </w:p>
    <w:p>
      <w:pPr>
        <w:pStyle w:val="5"/>
        <w:rPr>
          <w:rFonts w:cs="Times New Roman"/>
          <w:color w:val="auto"/>
          <w:highlight w:val="none"/>
        </w:rPr>
      </w:pPr>
      <w:r>
        <w:rPr>
          <w:rFonts w:cs="Times New Roman"/>
          <w:color w:val="auto"/>
          <w:highlight w:val="none"/>
        </w:rPr>
        <w:t>划分结果</w:t>
      </w:r>
    </w:p>
    <w:p>
      <w:pPr>
        <w:ind w:firstLine="480"/>
        <w:rPr>
          <w:rFonts w:cs="Times New Roman"/>
          <w:color w:val="auto"/>
          <w:highlight w:val="none"/>
        </w:rPr>
      </w:pPr>
      <w:r>
        <w:rPr>
          <w:rFonts w:cs="Times New Roman"/>
          <w:color w:val="auto"/>
          <w:highlight w:val="none"/>
        </w:rPr>
        <w:t>对于</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的水土保持设施竣工验收项目按不同水土流失防治分区进行单位工程和分部工程划分。</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划分为</w:t>
      </w:r>
      <w:r>
        <w:rPr>
          <w:rFonts w:hint="eastAsia" w:cs="Times New Roman"/>
          <w:color w:val="auto"/>
          <w:highlight w:val="none"/>
          <w:lang w:eastAsia="zh-CN"/>
        </w:rPr>
        <w:t>建构筑物防治区</w:t>
      </w:r>
      <w:r>
        <w:rPr>
          <w:rFonts w:hint="eastAsia" w:cs="Times New Roman"/>
          <w:color w:val="auto"/>
          <w:highlight w:val="none"/>
        </w:rPr>
        <w:t>、</w:t>
      </w:r>
      <w:r>
        <w:rPr>
          <w:rFonts w:hint="eastAsia" w:cs="Times New Roman"/>
          <w:color w:val="auto"/>
          <w:highlight w:val="none"/>
          <w:lang w:eastAsia="zh-CN"/>
        </w:rPr>
        <w:t>道路及硬化工程防治区</w:t>
      </w:r>
      <w:r>
        <w:rPr>
          <w:rFonts w:hint="eastAsia" w:cs="Times New Roman"/>
          <w:color w:val="auto"/>
          <w:highlight w:val="none"/>
        </w:rPr>
        <w:t>、</w:t>
      </w:r>
      <w:r>
        <w:rPr>
          <w:rFonts w:hint="eastAsia" w:cs="Times New Roman"/>
          <w:color w:val="auto"/>
          <w:highlight w:val="none"/>
          <w:lang w:eastAsia="zh-CN"/>
        </w:rPr>
        <w:t>绿化防治区</w:t>
      </w:r>
      <w:r>
        <w:rPr>
          <w:rFonts w:cs="Times New Roman"/>
          <w:color w:val="auto"/>
          <w:highlight w:val="none"/>
        </w:rPr>
        <w:t>。</w:t>
      </w:r>
    </w:p>
    <w:p>
      <w:pPr>
        <w:ind w:firstLine="480"/>
        <w:rPr>
          <w:rFonts w:cs="Times New Roman"/>
          <w:color w:val="auto"/>
          <w:highlight w:val="none"/>
        </w:rPr>
      </w:pPr>
      <w:r>
        <w:rPr>
          <w:rFonts w:cs="Times New Roman"/>
          <w:color w:val="auto"/>
          <w:highlight w:val="none"/>
        </w:rPr>
        <w:t>由于本项目水土保持工程措施由主体工程施工单位完成，主体工程进行分项验收时已进行了质量评定，本次评定将接受主体工程的评定结果，对专项水土保持措施的工程部位按“技术规程”要求进行现场评定或复核。根据《开发建设项目水土保持设施验收技术规程》（GB/T22490-2008），本项目水土保持单位工程的查勘比例达到</w:t>
      </w:r>
      <w:r>
        <w:rPr>
          <w:rFonts w:hint="eastAsia" w:cs="Times New Roman"/>
          <w:color w:val="auto"/>
          <w:highlight w:val="none"/>
          <w:lang w:eastAsia="zh-CN"/>
        </w:rPr>
        <w:t>点型</w:t>
      </w:r>
      <w:r>
        <w:rPr>
          <w:rFonts w:cs="Times New Roman"/>
          <w:color w:val="auto"/>
          <w:highlight w:val="none"/>
        </w:rPr>
        <w:t>工程要求。依据工程设计和施工部署，考虑便于质量管理等原则，本项目水土保持工程措施划分为单位工程、分部工程和单元工程3级。水土保持工程项目划分标准详见表4.2-1。</w:t>
      </w:r>
    </w:p>
    <w:p>
      <w:pPr>
        <w:ind w:firstLine="480"/>
        <w:rPr>
          <w:rFonts w:cs="Times New Roman"/>
          <w:color w:val="auto"/>
          <w:highlight w:val="none"/>
        </w:rPr>
      </w:pPr>
      <w:r>
        <w:rPr>
          <w:rFonts w:cs="Times New Roman"/>
          <w:color w:val="auto"/>
          <w:highlight w:val="none"/>
        </w:rPr>
        <w:t>单位工程：可以独立发挥作用，具有相应规模的单项治理措施和交大的单项工程。本工程按水土保持防护措施类型进行划分，共</w:t>
      </w:r>
      <w:r>
        <w:rPr>
          <w:rFonts w:hint="eastAsia" w:cs="Times New Roman"/>
          <w:color w:val="auto"/>
          <w:highlight w:val="none"/>
          <w:lang w:val="en-US" w:eastAsia="zh-CN"/>
        </w:rPr>
        <w:t>6</w:t>
      </w:r>
      <w:r>
        <w:rPr>
          <w:rFonts w:cs="Times New Roman"/>
          <w:color w:val="auto"/>
          <w:highlight w:val="none"/>
        </w:rPr>
        <w:t>个单位工程。</w:t>
      </w:r>
    </w:p>
    <w:p>
      <w:pPr>
        <w:ind w:firstLine="480"/>
        <w:rPr>
          <w:rFonts w:cs="Times New Roman"/>
          <w:color w:val="auto"/>
          <w:highlight w:val="none"/>
        </w:rPr>
      </w:pPr>
      <w:r>
        <w:rPr>
          <w:rFonts w:cs="Times New Roman"/>
          <w:color w:val="auto"/>
          <w:highlight w:val="none"/>
        </w:rPr>
        <w:t>分部工程：单位工程的主要组成部分，可单独或组合发挥一种水土保持功能的工程，本工程共</w:t>
      </w:r>
      <w:r>
        <w:rPr>
          <w:rFonts w:hint="eastAsia" w:cs="Times New Roman"/>
          <w:color w:val="auto"/>
          <w:highlight w:val="none"/>
          <w:lang w:val="en-US" w:eastAsia="zh-CN"/>
        </w:rPr>
        <w:t>8</w:t>
      </w:r>
      <w:r>
        <w:rPr>
          <w:rFonts w:cs="Times New Roman"/>
          <w:color w:val="auto"/>
          <w:highlight w:val="none"/>
        </w:rPr>
        <w:t>个分部工程。</w:t>
      </w:r>
    </w:p>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auto"/>
          <w:highlight w:val="none"/>
        </w:rPr>
        <w:t>单元工程：主要按规范规定，结合工种、工序、施工的基本组成划分，是工程质量评定、工程计量审核的基础，共划分为</w:t>
      </w:r>
      <w:r>
        <w:rPr>
          <w:rFonts w:hint="eastAsia" w:cs="Times New Roman"/>
          <w:color w:val="auto"/>
          <w:highlight w:val="none"/>
        </w:rPr>
        <w:t>5</w:t>
      </w:r>
      <w:r>
        <w:rPr>
          <w:rFonts w:hint="eastAsia" w:cs="Times New Roman"/>
          <w:color w:val="auto"/>
          <w:highlight w:val="none"/>
          <w:lang w:val="en-US" w:eastAsia="zh-CN"/>
        </w:rPr>
        <w:t>8</w:t>
      </w:r>
      <w:r>
        <w:rPr>
          <w:rFonts w:cs="Times New Roman"/>
          <w:color w:val="auto"/>
          <w:highlight w:val="none"/>
        </w:rPr>
        <w:t>个单元工程。</w:t>
      </w:r>
    </w:p>
    <w:p>
      <w:pPr>
        <w:pStyle w:val="15"/>
        <w:rPr>
          <w:rFonts w:cs="Times New Roman"/>
          <w:color w:val="auto"/>
          <w:highlight w:val="none"/>
        </w:rPr>
      </w:pPr>
      <w:r>
        <w:rPr>
          <w:rFonts w:cs="Times New Roman"/>
          <w:color w:val="auto"/>
          <w:highlight w:val="none"/>
        </w:rPr>
        <w:t>表4.2-1 水土保持措施项目划分及核查要求表</w:t>
      </w:r>
    </w:p>
    <w:tbl>
      <w:tblPr>
        <w:tblStyle w:val="11"/>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514"/>
        <w:gridCol w:w="1712"/>
        <w:gridCol w:w="1310"/>
        <w:gridCol w:w="811"/>
        <w:gridCol w:w="920"/>
        <w:gridCol w:w="710"/>
        <w:gridCol w:w="1712"/>
        <w:gridCol w:w="710"/>
        <w:gridCol w:w="2918"/>
        <w:gridCol w:w="71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896"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防治分区</w:t>
            </w:r>
          </w:p>
        </w:tc>
        <w:tc>
          <w:tcPr>
            <w:tcW w:w="610"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单位工程</w:t>
            </w:r>
          </w:p>
        </w:tc>
        <w:tc>
          <w:tcPr>
            <w:tcW w:w="467"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措施类型</w:t>
            </w:r>
          </w:p>
        </w:tc>
        <w:tc>
          <w:tcPr>
            <w:tcW w:w="289"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w:t>
            </w:r>
          </w:p>
        </w:tc>
        <w:tc>
          <w:tcPr>
            <w:tcW w:w="327"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完成情况</w:t>
            </w:r>
          </w:p>
        </w:tc>
        <w:tc>
          <w:tcPr>
            <w:tcW w:w="25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单位工程数量</w:t>
            </w:r>
          </w:p>
        </w:tc>
        <w:tc>
          <w:tcPr>
            <w:tcW w:w="610"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分部工程</w:t>
            </w:r>
          </w:p>
        </w:tc>
        <w:tc>
          <w:tcPr>
            <w:tcW w:w="25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分部工程数量</w:t>
            </w:r>
          </w:p>
        </w:tc>
        <w:tc>
          <w:tcPr>
            <w:tcW w:w="1040"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单元工程划分依据</w:t>
            </w:r>
          </w:p>
        </w:tc>
        <w:tc>
          <w:tcPr>
            <w:tcW w:w="25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单元工程数量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896"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建构筑物防治区</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土地整治工程</w:t>
            </w:r>
          </w:p>
        </w:tc>
        <w:tc>
          <w:tcPr>
            <w:tcW w:w="46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表土剥离</w:t>
            </w:r>
          </w:p>
        </w:tc>
        <w:tc>
          <w:tcPr>
            <w:tcW w:w="2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900</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土地恢复</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每100m</w:t>
            </w:r>
            <w:r>
              <w:rPr>
                <w:rFonts w:hint="eastAsia"/>
                <w:color w:val="auto"/>
                <w:highlight w:val="none"/>
                <w:vertAlign w:val="superscript"/>
                <w:lang w:val="en-US" w:eastAsia="zh-CN"/>
              </w:rPr>
              <w:t>3</w:t>
            </w:r>
            <w:r>
              <w:rPr>
                <w:rFonts w:hint="eastAsia"/>
                <w:color w:val="auto"/>
                <w:highlight w:val="none"/>
                <w:lang w:val="en-US" w:eastAsia="zh-CN"/>
              </w:rPr>
              <w:t>作为一个单元工程</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693" w:type="pct"/>
            <w:gridSpan w:val="4"/>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小计</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道路及硬化工程防治区</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土地整治工程</w:t>
            </w:r>
          </w:p>
        </w:tc>
        <w:tc>
          <w:tcPr>
            <w:tcW w:w="46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表土回覆</w:t>
            </w:r>
          </w:p>
        </w:tc>
        <w:tc>
          <w:tcPr>
            <w:tcW w:w="2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300</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土地恢复</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每100m</w:t>
            </w:r>
            <w:r>
              <w:rPr>
                <w:rFonts w:hint="eastAsia"/>
                <w:color w:val="auto"/>
                <w:highlight w:val="none"/>
                <w:vertAlign w:val="superscript"/>
                <w:lang w:val="en-US" w:eastAsia="zh-CN"/>
              </w:rPr>
              <w:t>3</w:t>
            </w:r>
            <w:r>
              <w:rPr>
                <w:rFonts w:hint="eastAsia"/>
                <w:color w:val="auto"/>
                <w:highlight w:val="none"/>
                <w:lang w:val="en-US" w:eastAsia="zh-CN"/>
              </w:rPr>
              <w:t>作为一个单元工程</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防洪排等工程</w:t>
            </w:r>
          </w:p>
        </w:tc>
        <w:tc>
          <w:tcPr>
            <w:tcW w:w="46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排水沟</w:t>
            </w:r>
          </w:p>
        </w:tc>
        <w:tc>
          <w:tcPr>
            <w:tcW w:w="2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660</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排洪导流设施</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每100m作为一个单元工程</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896"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植被建设工程</w:t>
            </w:r>
          </w:p>
        </w:tc>
        <w:tc>
          <w:tcPr>
            <w:tcW w:w="46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植草砖</w:t>
            </w:r>
          </w:p>
        </w:tc>
        <w:tc>
          <w:tcPr>
            <w:tcW w:w="2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2</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1100</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10"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△点片状植被</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每100m</w:t>
            </w:r>
            <w:r>
              <w:rPr>
                <w:rFonts w:hint="eastAsia"/>
                <w:color w:val="auto"/>
                <w:highlight w:val="none"/>
                <w:vertAlign w:val="superscript"/>
                <w:lang w:val="en-US" w:eastAsia="zh-CN"/>
              </w:rPr>
              <w:t>2</w:t>
            </w:r>
            <w:r>
              <w:rPr>
                <w:rFonts w:hint="eastAsia"/>
                <w:color w:val="auto"/>
                <w:highlight w:val="none"/>
                <w:lang w:val="en-US" w:eastAsia="zh-CN"/>
              </w:rPr>
              <w:t>作为一个单元工程</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693" w:type="pct"/>
            <w:gridSpan w:val="4"/>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小计</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绿化防治区</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土地整治工程</w:t>
            </w:r>
          </w:p>
        </w:tc>
        <w:tc>
          <w:tcPr>
            <w:tcW w:w="46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表土回覆</w:t>
            </w:r>
          </w:p>
        </w:tc>
        <w:tc>
          <w:tcPr>
            <w:tcW w:w="2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m</w:t>
            </w:r>
            <w:r>
              <w:rPr>
                <w:rFonts w:hint="eastAsia"/>
                <w:color w:val="auto"/>
                <w:highlight w:val="none"/>
                <w:vertAlign w:val="superscript"/>
                <w:lang w:val="en-US" w:eastAsia="zh-CN"/>
              </w:rPr>
              <w:t>3</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600</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土地恢复</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每100m</w:t>
            </w:r>
            <w:r>
              <w:rPr>
                <w:rFonts w:hint="eastAsia"/>
                <w:color w:val="auto"/>
                <w:highlight w:val="none"/>
                <w:vertAlign w:val="superscript"/>
                <w:lang w:val="en-US" w:eastAsia="zh-CN"/>
              </w:rPr>
              <w:t>3</w:t>
            </w:r>
            <w:r>
              <w:rPr>
                <w:rFonts w:hint="eastAsia"/>
                <w:color w:val="auto"/>
                <w:highlight w:val="none"/>
                <w:lang w:val="en-US" w:eastAsia="zh-CN"/>
              </w:rPr>
              <w:t>作为一个单元工程</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10"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植被建设工程</w:t>
            </w:r>
          </w:p>
        </w:tc>
        <w:tc>
          <w:tcPr>
            <w:tcW w:w="46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栽植乔木</w:t>
            </w:r>
          </w:p>
        </w:tc>
        <w:tc>
          <w:tcPr>
            <w:tcW w:w="2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株</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216</w:t>
            </w:r>
          </w:p>
        </w:tc>
        <w:tc>
          <w:tcPr>
            <w:tcW w:w="253"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10"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△点片状植被</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每100株作为一个单元工程</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10"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46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栽植灌木</w:t>
            </w:r>
          </w:p>
        </w:tc>
        <w:tc>
          <w:tcPr>
            <w:tcW w:w="2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株</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980</w:t>
            </w:r>
          </w:p>
        </w:tc>
        <w:tc>
          <w:tcPr>
            <w:tcW w:w="253"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10"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△点片状植被</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每100株作为一个单元工程</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10"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46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直播种草</w:t>
            </w:r>
          </w:p>
        </w:tc>
        <w:tc>
          <w:tcPr>
            <w:tcW w:w="2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hm</w:t>
            </w:r>
            <w:r>
              <w:rPr>
                <w:rFonts w:hint="eastAsia"/>
                <w:color w:val="auto"/>
                <w:highlight w:val="none"/>
                <w:vertAlign w:val="superscript"/>
                <w:lang w:val="en-US" w:eastAsia="zh-CN"/>
              </w:rPr>
              <w:t>2</w:t>
            </w:r>
          </w:p>
        </w:tc>
        <w:tc>
          <w:tcPr>
            <w:tcW w:w="327"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0.1</w:t>
            </w:r>
          </w:p>
        </w:tc>
        <w:tc>
          <w:tcPr>
            <w:tcW w:w="253"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10"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△点片状植被</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每100m</w:t>
            </w:r>
            <w:r>
              <w:rPr>
                <w:rFonts w:hint="eastAsia"/>
                <w:color w:val="auto"/>
                <w:highlight w:val="none"/>
                <w:vertAlign w:val="superscript"/>
                <w:lang w:val="en-US" w:eastAsia="zh-CN"/>
              </w:rPr>
              <w:t>2</w:t>
            </w:r>
            <w:r>
              <w:rPr>
                <w:rFonts w:hint="eastAsia"/>
                <w:color w:val="auto"/>
                <w:highlight w:val="none"/>
                <w:lang w:val="en-US" w:eastAsia="zh-CN"/>
              </w:rPr>
              <w:t>作为一个单元工程</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896"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1693" w:type="pct"/>
            <w:gridSpan w:val="4"/>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小计</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4</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2590" w:type="pct"/>
            <w:gridSpan w:val="5"/>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合计</w:t>
            </w: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w:t>
            </w:r>
          </w:p>
        </w:tc>
        <w:tc>
          <w:tcPr>
            <w:tcW w:w="61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8</w:t>
            </w:r>
          </w:p>
        </w:tc>
        <w:tc>
          <w:tcPr>
            <w:tcW w:w="1040"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58</w:t>
            </w:r>
          </w:p>
        </w:tc>
      </w:tr>
    </w:tbl>
    <w:p>
      <w:pPr>
        <w:ind w:firstLine="480"/>
        <w:rPr>
          <w:rFonts w:cs="Times New Roman"/>
          <w:color w:val="auto"/>
          <w:highlight w:val="none"/>
        </w:rPr>
        <w:sectPr>
          <w:pgSz w:w="16838" w:h="11906" w:orient="landscape"/>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p>
    <w:p>
      <w:pPr>
        <w:pStyle w:val="4"/>
        <w:rPr>
          <w:rFonts w:cs="Times New Roman"/>
          <w:color w:val="auto"/>
          <w:highlight w:val="none"/>
        </w:rPr>
      </w:pPr>
      <w:r>
        <w:rPr>
          <w:rFonts w:cs="Times New Roman"/>
          <w:color w:val="auto"/>
          <w:highlight w:val="none"/>
        </w:rPr>
        <w:t>各防治分区工程质量评定</w:t>
      </w:r>
    </w:p>
    <w:p>
      <w:pPr>
        <w:pStyle w:val="5"/>
        <w:rPr>
          <w:rFonts w:cs="Times New Roman"/>
          <w:color w:val="auto"/>
          <w:highlight w:val="none"/>
        </w:rPr>
      </w:pPr>
      <w:r>
        <w:rPr>
          <w:rFonts w:cs="Times New Roman"/>
          <w:color w:val="auto"/>
          <w:highlight w:val="none"/>
        </w:rPr>
        <w:t>工程措施质量评定</w:t>
      </w:r>
    </w:p>
    <w:p>
      <w:pPr>
        <w:numPr>
          <w:ilvl w:val="0"/>
          <w:numId w:val="15"/>
        </w:numPr>
        <w:ind w:left="0" w:firstLine="480"/>
        <w:rPr>
          <w:rFonts w:cs="Times New Roman"/>
          <w:color w:val="auto"/>
          <w:highlight w:val="none"/>
        </w:rPr>
      </w:pPr>
      <w:r>
        <w:rPr>
          <w:rFonts w:cs="Times New Roman"/>
          <w:color w:val="auto"/>
          <w:highlight w:val="none"/>
        </w:rPr>
        <w:t>工程措施竣工资料核查情况</w:t>
      </w:r>
    </w:p>
    <w:p>
      <w:pPr>
        <w:ind w:firstLine="480"/>
        <w:rPr>
          <w:rFonts w:cs="Times New Roman"/>
          <w:color w:val="auto"/>
          <w:highlight w:val="none"/>
        </w:rPr>
      </w:pPr>
      <w:r>
        <w:rPr>
          <w:rFonts w:cs="Times New Roman"/>
          <w:color w:val="auto"/>
          <w:highlight w:val="none"/>
        </w:rPr>
        <w:t>验收组检查了水土保持工程措施的完工验收资料，包括：主体工程监理资料、</w:t>
      </w:r>
      <w:r>
        <w:rPr>
          <w:rFonts w:hint="eastAsia" w:cs="Times New Roman"/>
          <w:color w:val="auto"/>
          <w:highlight w:val="none"/>
        </w:rPr>
        <w:t>监测总结报告、</w:t>
      </w:r>
      <w:r>
        <w:rPr>
          <w:rFonts w:cs="Times New Roman"/>
          <w:color w:val="auto"/>
          <w:highlight w:val="none"/>
        </w:rPr>
        <w:t>工程施工资料、质量等级评定资料、完成工程量及相应的工程投资资料，查阅施工组织设计、设计资料、隐蔽工程验收记录、监理通知、原材料合格证，特别是对单元工程、分部工程、单位工程质量评定资料、质量监督部门监督检查资料和质量评定等资料做了详细的查看。检查发现，建设单位对工程建设相关资料均进行了分类归档管理，所有工程都有施工合同，各项工程资料齐全，符合施工过程及技术规范管理要求，达到了验收标准。</w:t>
      </w:r>
    </w:p>
    <w:p>
      <w:pPr>
        <w:numPr>
          <w:ilvl w:val="0"/>
          <w:numId w:val="15"/>
        </w:numPr>
        <w:ind w:left="0" w:firstLine="480"/>
        <w:rPr>
          <w:rFonts w:cs="Times New Roman"/>
          <w:color w:val="auto"/>
          <w:highlight w:val="none"/>
        </w:rPr>
      </w:pPr>
      <w:r>
        <w:rPr>
          <w:rFonts w:cs="Times New Roman"/>
          <w:color w:val="auto"/>
          <w:highlight w:val="none"/>
        </w:rPr>
        <w:t>核查内容</w:t>
      </w:r>
    </w:p>
    <w:p>
      <w:pPr>
        <w:ind w:firstLine="480"/>
        <w:rPr>
          <w:rFonts w:cs="Times New Roman"/>
          <w:color w:val="auto"/>
          <w:highlight w:val="none"/>
        </w:rPr>
      </w:pPr>
      <w:r>
        <w:rPr>
          <w:rFonts w:cs="Times New Roman"/>
          <w:color w:val="auto"/>
          <w:highlight w:val="none"/>
        </w:rPr>
        <w:t>根据工程建设特点，按照《水土保持工程质量评定规程》(SL336-2006)和《开发建设项目水土保持设施验收技术规程》(GB/T22490-2008)要求，验收组对核查对象进行项目划分，并确定抽查比例后，重点核查以下内容：</w:t>
      </w:r>
    </w:p>
    <w:p>
      <w:pPr>
        <w:numPr>
          <w:ilvl w:val="0"/>
          <w:numId w:val="16"/>
        </w:numPr>
        <w:ind w:firstLine="480"/>
        <w:rPr>
          <w:rFonts w:cs="Times New Roman"/>
          <w:color w:val="auto"/>
          <w:highlight w:val="none"/>
        </w:rPr>
      </w:pPr>
      <w:r>
        <w:rPr>
          <w:rFonts w:cs="Times New Roman"/>
          <w:color w:val="auto"/>
          <w:highlight w:val="none"/>
        </w:rPr>
        <w:t>核查已实施的水土保持设施规格尺寸和分部工程施工用料。</w:t>
      </w:r>
    </w:p>
    <w:p>
      <w:pPr>
        <w:numPr>
          <w:ilvl w:val="0"/>
          <w:numId w:val="16"/>
        </w:numPr>
        <w:ind w:firstLine="480"/>
        <w:rPr>
          <w:rFonts w:cs="Times New Roman"/>
          <w:color w:val="auto"/>
          <w:highlight w:val="none"/>
        </w:rPr>
      </w:pPr>
      <w:r>
        <w:rPr>
          <w:rFonts w:cs="Times New Roman"/>
          <w:color w:val="auto"/>
          <w:highlight w:val="none"/>
        </w:rPr>
        <w:t>现场核查水土保持工程措施是否存在缺陷，是否存在因施工不规范、人为破坏等因素造成破损、变形、裂缝、滑塌等现象，并确定采取的补救措施。</w:t>
      </w:r>
    </w:p>
    <w:p>
      <w:pPr>
        <w:numPr>
          <w:ilvl w:val="0"/>
          <w:numId w:val="16"/>
        </w:numPr>
        <w:ind w:firstLine="480"/>
        <w:rPr>
          <w:rFonts w:cs="Times New Roman"/>
          <w:color w:val="auto"/>
          <w:highlight w:val="none"/>
        </w:rPr>
      </w:pPr>
      <w:r>
        <w:rPr>
          <w:rFonts w:cs="Times New Roman"/>
          <w:color w:val="auto"/>
          <w:highlight w:val="none"/>
        </w:rPr>
        <w:t>现场核查水土保持设施是否达到设计要求，确定施工技术要点的落实和建设单位的管护情况。</w:t>
      </w:r>
    </w:p>
    <w:p>
      <w:pPr>
        <w:numPr>
          <w:ilvl w:val="0"/>
          <w:numId w:val="16"/>
        </w:numPr>
        <w:ind w:firstLine="480"/>
        <w:rPr>
          <w:rFonts w:cs="Times New Roman"/>
          <w:color w:val="auto"/>
          <w:highlight w:val="none"/>
        </w:rPr>
      </w:pPr>
      <w:r>
        <w:rPr>
          <w:rFonts w:cs="Times New Roman"/>
          <w:color w:val="auto"/>
          <w:highlight w:val="none"/>
        </w:rPr>
        <w:t>结合监理工程质量评定和现场核查情况，综合评估水土保持设施是否达到设计要求，是否达到水土保持方案设计的水土流失防治效果，并对工程质量进行评定。</w:t>
      </w:r>
    </w:p>
    <w:p>
      <w:pPr>
        <w:numPr>
          <w:ilvl w:val="0"/>
          <w:numId w:val="15"/>
        </w:numPr>
        <w:ind w:left="0" w:firstLine="480"/>
        <w:rPr>
          <w:rFonts w:cs="Times New Roman"/>
          <w:color w:val="auto"/>
          <w:highlight w:val="none"/>
        </w:rPr>
      </w:pPr>
      <w:r>
        <w:rPr>
          <w:rFonts w:cs="Times New Roman"/>
          <w:color w:val="auto"/>
          <w:highlight w:val="none"/>
        </w:rPr>
        <w:t>核查方法</w:t>
      </w:r>
    </w:p>
    <w:p>
      <w:pPr>
        <w:ind w:firstLine="480"/>
        <w:rPr>
          <w:rFonts w:cs="Times New Roman"/>
          <w:color w:val="auto"/>
          <w:highlight w:val="none"/>
        </w:rPr>
      </w:pPr>
      <w:r>
        <w:rPr>
          <w:rFonts w:cs="Times New Roman"/>
          <w:color w:val="auto"/>
          <w:highlight w:val="none"/>
        </w:rPr>
        <w:t>水土保持工程措施核查范围为</w:t>
      </w:r>
      <w:r>
        <w:rPr>
          <w:rFonts w:hint="eastAsia" w:cs="Times New Roman"/>
          <w:color w:val="auto"/>
          <w:highlight w:val="none"/>
          <w:lang w:eastAsia="zh-CN"/>
        </w:rPr>
        <w:t>建构筑物防治区</w:t>
      </w:r>
      <w:r>
        <w:rPr>
          <w:rFonts w:hint="eastAsia" w:cs="Times New Roman"/>
          <w:color w:val="auto"/>
          <w:highlight w:val="none"/>
        </w:rPr>
        <w:t>、</w:t>
      </w:r>
      <w:r>
        <w:rPr>
          <w:rFonts w:hint="eastAsia" w:cs="Times New Roman"/>
          <w:color w:val="auto"/>
          <w:highlight w:val="none"/>
          <w:lang w:eastAsia="zh-CN"/>
        </w:rPr>
        <w:t>道路及硬化工程防治区</w:t>
      </w:r>
      <w:r>
        <w:rPr>
          <w:rFonts w:hint="eastAsia" w:cs="Times New Roman"/>
          <w:color w:val="auto"/>
          <w:highlight w:val="none"/>
        </w:rPr>
        <w:t>和</w:t>
      </w:r>
      <w:r>
        <w:rPr>
          <w:rFonts w:hint="eastAsia" w:cs="Times New Roman"/>
          <w:color w:val="auto"/>
          <w:highlight w:val="none"/>
          <w:lang w:eastAsia="zh-CN"/>
        </w:rPr>
        <w:t>绿化防治区</w:t>
      </w:r>
      <w:r>
        <w:rPr>
          <w:rFonts w:hint="eastAsia" w:cs="Times New Roman"/>
          <w:color w:val="auto"/>
          <w:highlight w:val="none"/>
        </w:rPr>
        <w:t>3</w:t>
      </w:r>
      <w:r>
        <w:rPr>
          <w:rFonts w:cs="Times New Roman"/>
          <w:color w:val="auto"/>
          <w:highlight w:val="none"/>
        </w:rPr>
        <w:t>个防治分区。根据《开发建设项目水土保持设施验收技术规程》（GB/T22490-2008）规定，分区内工程均为作为其他评估范围。</w:t>
      </w:r>
    </w:p>
    <w:p>
      <w:pPr>
        <w:ind w:firstLine="480"/>
        <w:rPr>
          <w:rFonts w:cs="Times New Roman"/>
          <w:color w:val="auto"/>
          <w:highlight w:val="none"/>
        </w:rPr>
      </w:pPr>
      <w:r>
        <w:rPr>
          <w:rFonts w:cs="Times New Roman"/>
          <w:color w:val="auto"/>
          <w:highlight w:val="none"/>
        </w:rPr>
        <w:t>在参考工程施工监理质量评定资料的基础，将水土保持工程措施单位工程和分部工程分别划分为</w:t>
      </w:r>
      <w:r>
        <w:rPr>
          <w:rFonts w:hint="eastAsia" w:cs="Times New Roman"/>
          <w:color w:val="auto"/>
          <w:highlight w:val="none"/>
          <w:lang w:val="en-US" w:eastAsia="zh-CN"/>
        </w:rPr>
        <w:t>4</w:t>
      </w:r>
      <w:r>
        <w:rPr>
          <w:rFonts w:cs="Times New Roman"/>
          <w:color w:val="auto"/>
          <w:highlight w:val="none"/>
        </w:rPr>
        <w:t>个单位工程、</w:t>
      </w:r>
      <w:r>
        <w:rPr>
          <w:rFonts w:hint="eastAsia" w:cs="Times New Roman"/>
          <w:color w:val="auto"/>
          <w:highlight w:val="none"/>
          <w:lang w:val="en-US" w:eastAsia="zh-CN"/>
        </w:rPr>
        <w:t>4</w:t>
      </w:r>
      <w:r>
        <w:rPr>
          <w:rFonts w:cs="Times New Roman"/>
          <w:color w:val="auto"/>
          <w:highlight w:val="none"/>
        </w:rPr>
        <w:t>个分部工程和</w:t>
      </w:r>
      <w:r>
        <w:rPr>
          <w:rFonts w:hint="eastAsia" w:cs="Times New Roman"/>
          <w:color w:val="auto"/>
          <w:highlight w:val="none"/>
          <w:lang w:val="en-US" w:eastAsia="zh-CN"/>
        </w:rPr>
        <w:t>25</w:t>
      </w:r>
      <w:r>
        <w:rPr>
          <w:rFonts w:cs="Times New Roman"/>
          <w:color w:val="auto"/>
          <w:highlight w:val="none"/>
        </w:rPr>
        <w:t>个单元工程。</w:t>
      </w:r>
    </w:p>
    <w:p>
      <w:pPr>
        <w:ind w:firstLine="480"/>
        <w:rPr>
          <w:rFonts w:cs="Times New Roman"/>
          <w:color w:val="auto"/>
          <w:highlight w:val="none"/>
        </w:rPr>
      </w:pPr>
      <w:r>
        <w:rPr>
          <w:rFonts w:cs="Times New Roman"/>
          <w:color w:val="auto"/>
          <w:highlight w:val="none"/>
        </w:rPr>
        <w:t>本工程为</w:t>
      </w:r>
      <w:r>
        <w:rPr>
          <w:rFonts w:hint="eastAsia" w:cs="Times New Roman"/>
          <w:color w:val="auto"/>
          <w:highlight w:val="none"/>
          <w:lang w:val="en-US" w:eastAsia="zh-CN"/>
        </w:rPr>
        <w:t>点</w:t>
      </w:r>
      <w:r>
        <w:rPr>
          <w:rFonts w:hint="eastAsia" w:cs="Times New Roman"/>
          <w:color w:val="auto"/>
          <w:highlight w:val="none"/>
        </w:rPr>
        <w:t>型</w:t>
      </w:r>
      <w:r>
        <w:rPr>
          <w:rFonts w:cs="Times New Roman"/>
          <w:color w:val="auto"/>
          <w:highlight w:val="none"/>
        </w:rPr>
        <w:t>工程</w:t>
      </w:r>
      <w:r>
        <w:rPr>
          <w:rFonts w:hint="eastAsia" w:cs="Times New Roman"/>
          <w:color w:val="auto"/>
          <w:highlight w:val="none"/>
        </w:rPr>
        <w:t>，</w:t>
      </w:r>
      <w:r>
        <w:rPr>
          <w:rFonts w:cs="Times New Roman"/>
          <w:color w:val="auto"/>
          <w:highlight w:val="none"/>
        </w:rPr>
        <w:t>评估范围的单位工程查勘比例、分部工程抽查核实比例均按照不小于</w:t>
      </w:r>
      <w:r>
        <w:rPr>
          <w:rFonts w:hint="eastAsia" w:cs="Times New Roman"/>
          <w:color w:val="auto"/>
          <w:highlight w:val="none"/>
        </w:rPr>
        <w:t>30</w:t>
      </w:r>
      <w:r>
        <w:rPr>
          <w:rFonts w:cs="Times New Roman"/>
          <w:color w:val="auto"/>
          <w:highlight w:val="none"/>
        </w:rPr>
        <w:t>%控制</w:t>
      </w:r>
      <w:r>
        <w:rPr>
          <w:rFonts w:hint="eastAsia" w:cs="Times New Roman"/>
          <w:color w:val="auto"/>
          <w:highlight w:val="none"/>
        </w:rPr>
        <w:t>，因</w:t>
      </w:r>
      <w:r>
        <w:rPr>
          <w:rFonts w:cs="Times New Roman"/>
          <w:color w:val="auto"/>
          <w:highlight w:val="none"/>
        </w:rPr>
        <w:t>涉及的单位工程及所属的分部工程数量较少，故对单位工程全部查勘，分部工程全部核实。</w:t>
      </w:r>
    </w:p>
    <w:p>
      <w:pPr>
        <w:ind w:firstLine="480"/>
        <w:rPr>
          <w:rFonts w:cs="Times New Roman"/>
          <w:color w:val="auto"/>
          <w:highlight w:val="none"/>
        </w:rPr>
      </w:pPr>
      <w:r>
        <w:rPr>
          <w:rFonts w:cs="Times New Roman"/>
          <w:color w:val="auto"/>
          <w:highlight w:val="none"/>
        </w:rPr>
        <w:t>开展水土保持技术评估工作时，本项目已建设完成，对已拆除的临时措施不再进行现场核查，主要通过设计、施工、监测等资料进行核实。</w:t>
      </w:r>
    </w:p>
    <w:p>
      <w:pPr>
        <w:numPr>
          <w:ilvl w:val="0"/>
          <w:numId w:val="15"/>
        </w:numPr>
        <w:ind w:left="0" w:firstLine="480"/>
        <w:rPr>
          <w:rFonts w:cs="Times New Roman"/>
          <w:color w:val="auto"/>
          <w:highlight w:val="none"/>
        </w:rPr>
      </w:pPr>
      <w:r>
        <w:rPr>
          <w:rFonts w:cs="Times New Roman"/>
          <w:color w:val="auto"/>
          <w:highlight w:val="none"/>
        </w:rPr>
        <w:t>核查结果</w:t>
      </w:r>
    </w:p>
    <w:p>
      <w:pPr>
        <w:numPr>
          <w:ilvl w:val="0"/>
          <w:numId w:val="17"/>
        </w:numPr>
        <w:ind w:firstLine="480"/>
        <w:rPr>
          <w:rFonts w:cs="Times New Roman"/>
          <w:color w:val="auto"/>
          <w:highlight w:val="none"/>
        </w:rPr>
      </w:pPr>
      <w:r>
        <w:rPr>
          <w:rFonts w:hint="eastAsia" w:cs="Times New Roman"/>
          <w:color w:val="auto"/>
          <w:highlight w:val="none"/>
          <w:lang w:eastAsia="zh-CN"/>
        </w:rPr>
        <w:t>建构筑物防治区</w:t>
      </w:r>
    </w:p>
    <w:p>
      <w:pPr>
        <w:ind w:firstLine="480"/>
        <w:rPr>
          <w:rFonts w:cs="Times New Roman"/>
          <w:color w:val="auto"/>
          <w:highlight w:val="none"/>
        </w:rPr>
      </w:pPr>
      <w:r>
        <w:rPr>
          <w:rFonts w:cs="Times New Roman"/>
          <w:color w:val="auto"/>
          <w:highlight w:val="none"/>
        </w:rPr>
        <w:t>验收组对</w:t>
      </w:r>
      <w:r>
        <w:rPr>
          <w:rFonts w:hint="eastAsia" w:cs="Times New Roman"/>
          <w:color w:val="auto"/>
          <w:highlight w:val="none"/>
          <w:lang w:eastAsia="zh-CN"/>
        </w:rPr>
        <w:t>建构筑物防治区</w:t>
      </w:r>
      <w:r>
        <w:rPr>
          <w:rFonts w:cs="Times New Roman"/>
          <w:color w:val="auto"/>
          <w:highlight w:val="none"/>
        </w:rPr>
        <w:t>所属的</w:t>
      </w:r>
      <w:r>
        <w:rPr>
          <w:rFonts w:hint="eastAsia" w:cs="Times New Roman"/>
          <w:color w:val="auto"/>
          <w:highlight w:val="none"/>
          <w:lang w:val="en-US" w:eastAsia="zh-CN"/>
        </w:rPr>
        <w:t>1</w:t>
      </w:r>
      <w:r>
        <w:rPr>
          <w:rFonts w:cs="Times New Roman"/>
          <w:color w:val="auto"/>
          <w:highlight w:val="none"/>
        </w:rPr>
        <w:t>个单位工程进行查勘，单位工程查勘率100%；对该单位工程所属的</w:t>
      </w:r>
      <w:r>
        <w:rPr>
          <w:rFonts w:hint="eastAsia" w:cs="Times New Roman"/>
          <w:color w:val="auto"/>
          <w:highlight w:val="none"/>
          <w:lang w:val="en-US" w:eastAsia="zh-CN"/>
        </w:rPr>
        <w:t>1</w:t>
      </w:r>
      <w:r>
        <w:rPr>
          <w:rFonts w:cs="Times New Roman"/>
          <w:color w:val="auto"/>
          <w:highlight w:val="none"/>
        </w:rPr>
        <w:t>个分部工程进行核查，分部工程核查率100%，核查比例满足要求。</w:t>
      </w:r>
    </w:p>
    <w:p>
      <w:pPr>
        <w:numPr>
          <w:ilvl w:val="0"/>
          <w:numId w:val="17"/>
        </w:numPr>
        <w:ind w:firstLine="480"/>
        <w:rPr>
          <w:rFonts w:cs="Times New Roman"/>
          <w:color w:val="auto"/>
          <w:highlight w:val="none"/>
        </w:rPr>
      </w:pPr>
      <w:r>
        <w:rPr>
          <w:rFonts w:hint="eastAsia" w:cs="Times New Roman"/>
          <w:color w:val="auto"/>
          <w:highlight w:val="none"/>
          <w:lang w:eastAsia="zh-CN"/>
        </w:rPr>
        <w:t>道路及硬化工程防治区</w:t>
      </w:r>
    </w:p>
    <w:p>
      <w:pPr>
        <w:ind w:firstLine="480"/>
        <w:rPr>
          <w:rFonts w:cs="Times New Roman"/>
          <w:color w:val="auto"/>
          <w:highlight w:val="none"/>
        </w:rPr>
      </w:pPr>
      <w:r>
        <w:rPr>
          <w:rFonts w:cs="Times New Roman"/>
          <w:color w:val="auto"/>
          <w:highlight w:val="none"/>
        </w:rPr>
        <w:t>验收组对</w:t>
      </w:r>
      <w:r>
        <w:rPr>
          <w:rFonts w:hint="eastAsia" w:cs="Times New Roman"/>
          <w:color w:val="auto"/>
          <w:highlight w:val="none"/>
          <w:lang w:eastAsia="zh-CN"/>
        </w:rPr>
        <w:t>道路及硬化工程防治区</w:t>
      </w:r>
      <w:r>
        <w:rPr>
          <w:rFonts w:cs="Times New Roman"/>
          <w:color w:val="auto"/>
          <w:highlight w:val="none"/>
        </w:rPr>
        <w:t>所属的</w:t>
      </w:r>
      <w:r>
        <w:rPr>
          <w:rFonts w:hint="eastAsia" w:cs="Times New Roman"/>
          <w:color w:val="auto"/>
          <w:highlight w:val="none"/>
          <w:lang w:val="en-US" w:eastAsia="zh-CN"/>
        </w:rPr>
        <w:t>2</w:t>
      </w:r>
      <w:r>
        <w:rPr>
          <w:rFonts w:cs="Times New Roman"/>
          <w:color w:val="auto"/>
          <w:highlight w:val="none"/>
        </w:rPr>
        <w:t>个单位工程进行查勘，单位工程查勘率100%；对该单位工程所属的</w:t>
      </w:r>
      <w:r>
        <w:rPr>
          <w:rFonts w:hint="eastAsia" w:cs="Times New Roman"/>
          <w:color w:val="auto"/>
          <w:highlight w:val="none"/>
          <w:lang w:val="en-US" w:eastAsia="zh-CN"/>
        </w:rPr>
        <w:t>2</w:t>
      </w:r>
      <w:r>
        <w:rPr>
          <w:rFonts w:cs="Times New Roman"/>
          <w:color w:val="auto"/>
          <w:highlight w:val="none"/>
        </w:rPr>
        <w:t>个分部工程进行核查，分部工程核查率100%，核查比例满足要求。</w:t>
      </w:r>
    </w:p>
    <w:p>
      <w:pPr>
        <w:numPr>
          <w:ilvl w:val="0"/>
          <w:numId w:val="17"/>
        </w:numPr>
        <w:ind w:firstLine="480"/>
        <w:rPr>
          <w:rFonts w:cs="Times New Roman"/>
          <w:color w:val="auto"/>
          <w:highlight w:val="none"/>
        </w:rPr>
      </w:pPr>
      <w:r>
        <w:rPr>
          <w:rFonts w:hint="eastAsia" w:cs="Times New Roman"/>
          <w:color w:val="auto"/>
          <w:highlight w:val="none"/>
          <w:lang w:eastAsia="zh-CN"/>
        </w:rPr>
        <w:t>绿化防治区</w:t>
      </w:r>
    </w:p>
    <w:p>
      <w:pPr>
        <w:ind w:firstLine="480"/>
        <w:rPr>
          <w:rFonts w:cs="Times New Roman"/>
          <w:color w:val="auto"/>
          <w:highlight w:val="none"/>
        </w:rPr>
      </w:pPr>
      <w:r>
        <w:rPr>
          <w:rFonts w:cs="Times New Roman"/>
          <w:color w:val="auto"/>
          <w:highlight w:val="none"/>
        </w:rPr>
        <w:t>验收组对</w:t>
      </w:r>
      <w:r>
        <w:rPr>
          <w:rFonts w:hint="eastAsia" w:cs="Times New Roman"/>
          <w:color w:val="auto"/>
          <w:highlight w:val="none"/>
          <w:lang w:eastAsia="zh-CN"/>
        </w:rPr>
        <w:t>绿化防治区</w:t>
      </w:r>
      <w:r>
        <w:rPr>
          <w:rFonts w:cs="Times New Roman"/>
          <w:color w:val="auto"/>
          <w:highlight w:val="none"/>
        </w:rPr>
        <w:t>所属的</w:t>
      </w:r>
      <w:r>
        <w:rPr>
          <w:rFonts w:hint="eastAsia" w:cs="Times New Roman"/>
          <w:color w:val="auto"/>
          <w:highlight w:val="none"/>
          <w:lang w:val="en-US" w:eastAsia="zh-CN"/>
        </w:rPr>
        <w:t>1</w:t>
      </w:r>
      <w:r>
        <w:rPr>
          <w:rFonts w:cs="Times New Roman"/>
          <w:color w:val="auto"/>
          <w:highlight w:val="none"/>
        </w:rPr>
        <w:t>个单位工程进行查勘，单位工程查勘率100%；对该单位工程所属的</w:t>
      </w:r>
      <w:r>
        <w:rPr>
          <w:rFonts w:hint="eastAsia" w:cs="Times New Roman"/>
          <w:color w:val="auto"/>
          <w:highlight w:val="none"/>
          <w:lang w:val="en-US" w:eastAsia="zh-CN"/>
        </w:rPr>
        <w:t>1</w:t>
      </w:r>
      <w:r>
        <w:rPr>
          <w:rFonts w:cs="Times New Roman"/>
          <w:color w:val="auto"/>
          <w:highlight w:val="none"/>
        </w:rPr>
        <w:t>个分部工程进行核查，分部工程核查率100%，核查比例满足要求。</w:t>
      </w:r>
    </w:p>
    <w:p>
      <w:pPr>
        <w:numPr>
          <w:ilvl w:val="0"/>
          <w:numId w:val="15"/>
        </w:numPr>
        <w:ind w:left="0" w:firstLine="480"/>
        <w:rPr>
          <w:rFonts w:cs="Times New Roman"/>
          <w:color w:val="auto"/>
          <w:highlight w:val="none"/>
        </w:rPr>
      </w:pPr>
      <w:r>
        <w:rPr>
          <w:rFonts w:cs="Times New Roman"/>
          <w:color w:val="auto"/>
          <w:highlight w:val="none"/>
        </w:rPr>
        <w:t>工程措施质量评价</w:t>
      </w:r>
    </w:p>
    <w:p>
      <w:pPr>
        <w:ind w:firstLine="480"/>
        <w:rPr>
          <w:rFonts w:cs="Times New Roman"/>
          <w:color w:val="auto"/>
          <w:highlight w:val="none"/>
        </w:rPr>
      </w:pPr>
      <w:r>
        <w:rPr>
          <w:rFonts w:cs="Times New Roman"/>
          <w:color w:val="auto"/>
          <w:highlight w:val="none"/>
        </w:rPr>
        <w:t>在工程建设中，建设单位重视水土保持工作，将水土保持工程纳入主体工程施工中，建立了项目法人负责、政府职能部门监督的质量管理体系，对整个项目实行了项目法人制、招标投标制和合同管理制的质量保证体系。对进入工程实体的原材料、中间产品和成品进行抽样检查、试验，不合格材料严禁投入使用，有效地保证了工程质量。</w:t>
      </w:r>
    </w:p>
    <w:p>
      <w:pPr>
        <w:ind w:firstLine="480"/>
        <w:rPr>
          <w:rFonts w:cs="Times New Roman"/>
          <w:color w:val="auto"/>
          <w:highlight w:val="none"/>
        </w:rPr>
      </w:pPr>
      <w:r>
        <w:rPr>
          <w:rFonts w:cs="Times New Roman"/>
          <w:color w:val="auto"/>
          <w:highlight w:val="none"/>
        </w:rPr>
        <w:t>验收组检查了施工管理制度、工程质量检验和质量评定记录，现场核查了各防治分区实施的水土保持工程措施后，认为水土保持工程措施的施工质量检验和质量评定资料齐全，程序完善，有施工签章，符合质量管理体系要求。</w:t>
      </w:r>
    </w:p>
    <w:p>
      <w:pPr>
        <w:ind w:firstLine="480"/>
        <w:rPr>
          <w:rFonts w:cs="Times New Roman"/>
          <w:color w:val="auto"/>
          <w:highlight w:val="none"/>
        </w:rPr>
      </w:pPr>
      <w:r>
        <w:rPr>
          <w:rFonts w:cs="Times New Roman"/>
          <w:color w:val="auto"/>
          <w:highlight w:val="none"/>
        </w:rPr>
        <w:t>经验收组查阅施工管理制度、竣工总结报告、主要材料试验报告、工程质量验收评定资料，以及现场核查后认为：</w:t>
      </w:r>
    </w:p>
    <w:p>
      <w:pPr>
        <w:numPr>
          <w:ilvl w:val="0"/>
          <w:numId w:val="18"/>
        </w:numPr>
        <w:ind w:firstLine="480"/>
        <w:rPr>
          <w:rFonts w:cs="Times New Roman"/>
          <w:color w:val="auto"/>
          <w:highlight w:val="none"/>
        </w:rPr>
      </w:pPr>
      <w:r>
        <w:rPr>
          <w:rFonts w:hint="eastAsia" w:cs="Times New Roman"/>
          <w:color w:val="auto"/>
          <w:highlight w:val="none"/>
          <w:lang w:eastAsia="zh-CN"/>
        </w:rPr>
        <w:t>建构筑物防治区</w:t>
      </w:r>
      <w:r>
        <w:rPr>
          <w:rFonts w:hint="eastAsia" w:cs="Times New Roman"/>
          <w:color w:val="auto"/>
          <w:highlight w:val="none"/>
        </w:rPr>
        <w:t>排水沟</w:t>
      </w:r>
      <w:r>
        <w:rPr>
          <w:rFonts w:cs="Times New Roman"/>
          <w:color w:val="auto"/>
          <w:highlight w:val="none"/>
        </w:rPr>
        <w:t>未见明显损毁</w:t>
      </w:r>
      <w:r>
        <w:rPr>
          <w:rFonts w:hint="eastAsia" w:cs="Times New Roman"/>
          <w:color w:val="auto"/>
          <w:highlight w:val="none"/>
        </w:rPr>
        <w:t>，</w:t>
      </w:r>
      <w:r>
        <w:rPr>
          <w:rFonts w:cs="Times New Roman"/>
          <w:color w:val="auto"/>
          <w:highlight w:val="none"/>
        </w:rPr>
        <w:t>外观质量合格，运行正常</w:t>
      </w:r>
      <w:r>
        <w:rPr>
          <w:rFonts w:hint="eastAsia" w:cs="Times New Roman"/>
          <w:color w:val="auto"/>
          <w:highlight w:val="none"/>
        </w:rPr>
        <w:t>，</w:t>
      </w:r>
      <w:r>
        <w:rPr>
          <w:rFonts w:cs="Times New Roman"/>
          <w:color w:val="auto"/>
          <w:highlight w:val="none"/>
        </w:rPr>
        <w:t>地整治工程满足植被建设要求</w:t>
      </w:r>
      <w:r>
        <w:rPr>
          <w:rFonts w:hint="eastAsia" w:cs="Times New Roman"/>
          <w:color w:val="auto"/>
          <w:highlight w:val="none"/>
        </w:rPr>
        <w:t>；</w:t>
      </w:r>
    </w:p>
    <w:p>
      <w:pPr>
        <w:numPr>
          <w:ilvl w:val="0"/>
          <w:numId w:val="18"/>
        </w:numPr>
        <w:ind w:firstLine="480"/>
        <w:rPr>
          <w:rFonts w:cs="Times New Roman"/>
          <w:color w:val="auto"/>
          <w:highlight w:val="none"/>
        </w:rPr>
      </w:pPr>
      <w:r>
        <w:rPr>
          <w:rFonts w:hint="eastAsia" w:cs="Times New Roman"/>
          <w:color w:val="auto"/>
          <w:highlight w:val="none"/>
          <w:lang w:eastAsia="zh-CN"/>
        </w:rPr>
        <w:t>道路及硬化工程防治区</w:t>
      </w:r>
      <w:r>
        <w:rPr>
          <w:rFonts w:cs="Times New Roman"/>
          <w:color w:val="auto"/>
          <w:highlight w:val="none"/>
        </w:rPr>
        <w:t>土地整治工程满足植被建设要求</w:t>
      </w:r>
      <w:r>
        <w:rPr>
          <w:rFonts w:hint="eastAsia" w:cs="Times New Roman"/>
          <w:color w:val="auto"/>
          <w:highlight w:val="none"/>
        </w:rPr>
        <w:t>；</w:t>
      </w:r>
    </w:p>
    <w:p>
      <w:pPr>
        <w:numPr>
          <w:ilvl w:val="0"/>
          <w:numId w:val="18"/>
        </w:numPr>
        <w:ind w:firstLine="480"/>
        <w:rPr>
          <w:rFonts w:cs="Times New Roman"/>
          <w:color w:val="auto"/>
          <w:highlight w:val="none"/>
        </w:rPr>
      </w:pPr>
      <w:r>
        <w:rPr>
          <w:rFonts w:hint="eastAsia" w:cs="Times New Roman"/>
          <w:color w:val="auto"/>
          <w:highlight w:val="none"/>
          <w:lang w:eastAsia="zh-CN"/>
        </w:rPr>
        <w:t>绿化防治区</w:t>
      </w:r>
      <w:r>
        <w:rPr>
          <w:rFonts w:cs="Times New Roman"/>
          <w:color w:val="auto"/>
          <w:highlight w:val="none"/>
        </w:rPr>
        <w:t>土地整治工程满足植被建设要求</w:t>
      </w:r>
      <w:r>
        <w:rPr>
          <w:rFonts w:hint="eastAsia" w:cs="Times New Roman"/>
          <w:color w:val="auto"/>
          <w:highlight w:val="none"/>
        </w:rPr>
        <w:t>。排水沟</w:t>
      </w:r>
      <w:r>
        <w:rPr>
          <w:rFonts w:cs="Times New Roman"/>
          <w:color w:val="auto"/>
          <w:highlight w:val="none"/>
        </w:rPr>
        <w:t>未见明显损毁</w:t>
      </w:r>
      <w:r>
        <w:rPr>
          <w:rFonts w:hint="eastAsia" w:cs="Times New Roman"/>
          <w:color w:val="auto"/>
          <w:highlight w:val="none"/>
        </w:rPr>
        <w:t>，</w:t>
      </w:r>
      <w:r>
        <w:rPr>
          <w:rFonts w:cs="Times New Roman"/>
          <w:color w:val="auto"/>
          <w:highlight w:val="none"/>
        </w:rPr>
        <w:t>外观质量合格，运行正</w:t>
      </w:r>
      <w:r>
        <w:rPr>
          <w:rFonts w:hint="eastAsia" w:cs="Times New Roman"/>
          <w:color w:val="auto"/>
          <w:highlight w:val="none"/>
        </w:rPr>
        <w:t>常。</w:t>
      </w:r>
    </w:p>
    <w:p>
      <w:pPr>
        <w:pStyle w:val="15"/>
        <w:rPr>
          <w:rFonts w:cs="Times New Roman"/>
          <w:color w:val="auto"/>
          <w:highlight w:val="none"/>
        </w:rPr>
      </w:pPr>
      <w:r>
        <w:rPr>
          <w:rFonts w:cs="Times New Roman"/>
          <w:color w:val="auto"/>
          <w:highlight w:val="none"/>
        </w:rPr>
        <w:t>表4.2-2  水土保持工程措施核查结果汇总表</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325"/>
        <w:gridCol w:w="1186"/>
        <w:gridCol w:w="735"/>
        <w:gridCol w:w="1140"/>
        <w:gridCol w:w="975"/>
        <w:gridCol w:w="708"/>
        <w:gridCol w:w="570"/>
        <w:gridCol w:w="608"/>
        <w:gridCol w:w="570"/>
        <w:gridCol w:w="608"/>
        <w:gridCol w:w="67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80" w:hRule="atLeast"/>
        </w:trPr>
        <w:tc>
          <w:tcPr>
            <w:tcW w:w="728"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防治分区</w:t>
            </w:r>
          </w:p>
        </w:tc>
        <w:tc>
          <w:tcPr>
            <w:tcW w:w="651"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单位工程</w:t>
            </w:r>
          </w:p>
        </w:tc>
        <w:tc>
          <w:tcPr>
            <w:tcW w:w="40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单位工程数量</w:t>
            </w:r>
          </w:p>
        </w:tc>
        <w:tc>
          <w:tcPr>
            <w:tcW w:w="626"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分部工程</w:t>
            </w:r>
          </w:p>
        </w:tc>
        <w:tc>
          <w:tcPr>
            <w:tcW w:w="535"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分部工程数量</w:t>
            </w:r>
          </w:p>
        </w:tc>
        <w:tc>
          <w:tcPr>
            <w:tcW w:w="389"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单元工程数量</w:t>
            </w:r>
          </w:p>
        </w:tc>
        <w:tc>
          <w:tcPr>
            <w:tcW w:w="31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抽查数（个）</w:t>
            </w:r>
          </w:p>
        </w:tc>
        <w:tc>
          <w:tcPr>
            <w:tcW w:w="334"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抽查比例（%）</w:t>
            </w:r>
          </w:p>
        </w:tc>
        <w:tc>
          <w:tcPr>
            <w:tcW w:w="31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合格数（个）</w:t>
            </w:r>
          </w:p>
        </w:tc>
        <w:tc>
          <w:tcPr>
            <w:tcW w:w="334"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合格率(%)</w:t>
            </w:r>
          </w:p>
        </w:tc>
        <w:tc>
          <w:tcPr>
            <w:tcW w:w="369"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质量评定等级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28"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建构筑物防治区</w:t>
            </w:r>
          </w:p>
        </w:tc>
        <w:tc>
          <w:tcPr>
            <w:tcW w:w="65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土地整治工程</w:t>
            </w:r>
          </w:p>
        </w:tc>
        <w:tc>
          <w:tcPr>
            <w:tcW w:w="40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2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土地恢复</w:t>
            </w:r>
          </w:p>
        </w:tc>
        <w:tc>
          <w:tcPr>
            <w:tcW w:w="53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3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9</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28"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道路及硬化工程防治区</w:t>
            </w:r>
          </w:p>
        </w:tc>
        <w:tc>
          <w:tcPr>
            <w:tcW w:w="65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土地整治工程</w:t>
            </w:r>
          </w:p>
        </w:tc>
        <w:tc>
          <w:tcPr>
            <w:tcW w:w="40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2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土地恢复</w:t>
            </w:r>
          </w:p>
        </w:tc>
        <w:tc>
          <w:tcPr>
            <w:tcW w:w="53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3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28"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5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防洪排等工程</w:t>
            </w:r>
          </w:p>
        </w:tc>
        <w:tc>
          <w:tcPr>
            <w:tcW w:w="40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2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排洪导流设施</w:t>
            </w:r>
          </w:p>
        </w:tc>
        <w:tc>
          <w:tcPr>
            <w:tcW w:w="53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3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7</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7</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7</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72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绿化防治区</w:t>
            </w:r>
          </w:p>
        </w:tc>
        <w:tc>
          <w:tcPr>
            <w:tcW w:w="651"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土地整治工程</w:t>
            </w:r>
          </w:p>
        </w:tc>
        <w:tc>
          <w:tcPr>
            <w:tcW w:w="40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62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土地恢复</w:t>
            </w:r>
          </w:p>
        </w:tc>
        <w:tc>
          <w:tcPr>
            <w:tcW w:w="53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3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6</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380" w:type="pct"/>
            <w:gridSpan w:val="2"/>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合计</w:t>
            </w:r>
          </w:p>
        </w:tc>
        <w:tc>
          <w:tcPr>
            <w:tcW w:w="40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4</w:t>
            </w:r>
          </w:p>
        </w:tc>
        <w:tc>
          <w:tcPr>
            <w:tcW w:w="62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53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4</w:t>
            </w:r>
          </w:p>
        </w:tc>
        <w:tc>
          <w:tcPr>
            <w:tcW w:w="38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25</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25</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25</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bl>
    <w:p>
      <w:pPr>
        <w:pStyle w:val="5"/>
        <w:rPr>
          <w:rFonts w:cs="Times New Roman"/>
          <w:color w:val="auto"/>
          <w:highlight w:val="none"/>
        </w:rPr>
      </w:pPr>
      <w:r>
        <w:rPr>
          <w:rFonts w:cs="Times New Roman"/>
          <w:color w:val="auto"/>
          <w:highlight w:val="none"/>
        </w:rPr>
        <w:t>植物措施质量评价</w:t>
      </w:r>
    </w:p>
    <w:p>
      <w:pPr>
        <w:numPr>
          <w:ilvl w:val="0"/>
          <w:numId w:val="19"/>
        </w:numPr>
        <w:ind w:left="0" w:firstLine="480"/>
        <w:rPr>
          <w:rFonts w:cs="Times New Roman"/>
          <w:color w:val="auto"/>
          <w:highlight w:val="none"/>
        </w:rPr>
      </w:pPr>
      <w:r>
        <w:rPr>
          <w:rFonts w:cs="Times New Roman"/>
          <w:color w:val="auto"/>
          <w:highlight w:val="none"/>
        </w:rPr>
        <w:t>竣工资料核查情况</w:t>
      </w:r>
    </w:p>
    <w:p>
      <w:pPr>
        <w:ind w:firstLine="480"/>
        <w:rPr>
          <w:rFonts w:cs="Times New Roman"/>
          <w:color w:val="auto"/>
          <w:highlight w:val="none"/>
        </w:rPr>
      </w:pPr>
      <w:r>
        <w:rPr>
          <w:rFonts w:cs="Times New Roman"/>
          <w:color w:val="auto"/>
          <w:highlight w:val="none"/>
        </w:rPr>
        <w:t>验收组对</w:t>
      </w:r>
      <w:r>
        <w:rPr>
          <w:rFonts w:hint="eastAsia" w:cs="Times New Roman"/>
          <w:color w:val="auto"/>
          <w:highlight w:val="none"/>
          <w:lang w:eastAsia="zh-CN"/>
        </w:rPr>
        <w:t>道路及硬化工程防治区</w:t>
      </w:r>
      <w:r>
        <w:rPr>
          <w:rFonts w:hint="eastAsia" w:cs="Times New Roman"/>
          <w:color w:val="auto"/>
          <w:highlight w:val="none"/>
          <w:lang w:val="en-US" w:eastAsia="zh-CN"/>
        </w:rPr>
        <w:t>及绿化防治区</w:t>
      </w:r>
      <w:r>
        <w:rPr>
          <w:rFonts w:cs="Times New Roman"/>
          <w:color w:val="auto"/>
          <w:highlight w:val="none"/>
        </w:rPr>
        <w:t>进行现场核查，查验各分区水土保持植物措施的竣工文件、质量验收评定等资料，以上资料签字齐全，试验满足设计要求，水土保持植物措施质量验收后评定为合格。</w:t>
      </w:r>
    </w:p>
    <w:p>
      <w:pPr>
        <w:numPr>
          <w:ilvl w:val="0"/>
          <w:numId w:val="19"/>
        </w:numPr>
        <w:ind w:left="0" w:firstLine="480"/>
        <w:rPr>
          <w:rFonts w:cs="Times New Roman"/>
          <w:color w:val="auto"/>
          <w:highlight w:val="none"/>
        </w:rPr>
      </w:pPr>
      <w:r>
        <w:rPr>
          <w:rFonts w:cs="Times New Roman"/>
          <w:color w:val="auto"/>
          <w:highlight w:val="none"/>
        </w:rPr>
        <w:t>核查内容</w:t>
      </w:r>
    </w:p>
    <w:p>
      <w:pPr>
        <w:ind w:firstLine="480"/>
        <w:rPr>
          <w:rFonts w:cs="Times New Roman"/>
          <w:color w:val="auto"/>
          <w:highlight w:val="none"/>
        </w:rPr>
      </w:pPr>
      <w:r>
        <w:rPr>
          <w:rFonts w:cs="Times New Roman"/>
          <w:color w:val="auto"/>
          <w:highlight w:val="none"/>
        </w:rPr>
        <w:t>植物组对核查对象进行项目划分，并确定抽查核实比例后，重点核查以下内容：对</w:t>
      </w:r>
      <w:r>
        <w:rPr>
          <w:rFonts w:hint="eastAsia" w:cs="Times New Roman"/>
          <w:color w:val="auto"/>
          <w:highlight w:val="none"/>
          <w:lang w:eastAsia="zh-CN"/>
        </w:rPr>
        <w:t>道路及硬化工程防治区</w:t>
      </w:r>
      <w:r>
        <w:rPr>
          <w:rFonts w:hint="eastAsia" w:cs="Times New Roman"/>
          <w:color w:val="auto"/>
          <w:highlight w:val="none"/>
          <w:lang w:val="en-US" w:eastAsia="zh-CN"/>
        </w:rPr>
        <w:t>和绿化防治区</w:t>
      </w:r>
      <w:r>
        <w:rPr>
          <w:rFonts w:cs="Times New Roman"/>
          <w:color w:val="auto"/>
          <w:highlight w:val="none"/>
        </w:rPr>
        <w:t>水土保持植物措施的实施面积进行核实，对已实施的植物措施质量进行核查和评定。</w:t>
      </w:r>
    </w:p>
    <w:p>
      <w:pPr>
        <w:numPr>
          <w:ilvl w:val="0"/>
          <w:numId w:val="19"/>
        </w:numPr>
        <w:ind w:left="0" w:firstLine="480"/>
        <w:rPr>
          <w:rFonts w:cs="Times New Roman"/>
          <w:color w:val="auto"/>
          <w:highlight w:val="none"/>
        </w:rPr>
      </w:pPr>
      <w:r>
        <w:rPr>
          <w:rFonts w:cs="Times New Roman"/>
          <w:color w:val="auto"/>
          <w:highlight w:val="none"/>
        </w:rPr>
        <w:t>核查方法</w:t>
      </w:r>
    </w:p>
    <w:p>
      <w:pPr>
        <w:ind w:firstLine="480"/>
        <w:rPr>
          <w:rFonts w:cs="Times New Roman"/>
          <w:color w:val="auto"/>
          <w:highlight w:val="none"/>
        </w:rPr>
      </w:pPr>
      <w:r>
        <w:rPr>
          <w:rFonts w:cs="Times New Roman"/>
          <w:color w:val="auto"/>
          <w:highlight w:val="none"/>
        </w:rPr>
        <w:t>根据《开发建设项目水土保持设施验收技术规程》（GB/T22490-2008）规定，将弃渣场占地区划为重点评估单位，其余防治分区划分为其他评估范围。</w:t>
      </w:r>
    </w:p>
    <w:p>
      <w:pPr>
        <w:ind w:firstLine="480"/>
        <w:rPr>
          <w:rFonts w:cs="Times New Roman"/>
          <w:color w:val="auto"/>
          <w:highlight w:val="none"/>
        </w:rPr>
      </w:pPr>
      <w:r>
        <w:rPr>
          <w:rFonts w:cs="Times New Roman"/>
          <w:color w:val="auto"/>
          <w:highlight w:val="none"/>
        </w:rPr>
        <w:t>水土保持植物措施的单位工程和分部工程划分，按《水土保持工程质量评定规程》规定执行，共划分为</w:t>
      </w:r>
      <w:r>
        <w:rPr>
          <w:rFonts w:hint="eastAsia" w:cs="Times New Roman"/>
          <w:color w:val="auto"/>
          <w:highlight w:val="none"/>
        </w:rPr>
        <w:t>2</w:t>
      </w:r>
      <w:r>
        <w:rPr>
          <w:rFonts w:cs="Times New Roman"/>
          <w:color w:val="auto"/>
          <w:highlight w:val="none"/>
        </w:rPr>
        <w:t>个单位工程，</w:t>
      </w:r>
      <w:r>
        <w:rPr>
          <w:rFonts w:hint="eastAsia" w:cs="Times New Roman"/>
          <w:color w:val="auto"/>
          <w:highlight w:val="none"/>
          <w:lang w:val="en-US" w:eastAsia="zh-CN"/>
        </w:rPr>
        <w:t>4</w:t>
      </w:r>
      <w:r>
        <w:rPr>
          <w:rFonts w:cs="Times New Roman"/>
          <w:color w:val="auto"/>
          <w:highlight w:val="none"/>
        </w:rPr>
        <w:t>个分部工程，</w:t>
      </w:r>
      <w:r>
        <w:rPr>
          <w:rFonts w:hint="eastAsia" w:cs="Times New Roman"/>
          <w:color w:val="auto"/>
          <w:highlight w:val="none"/>
          <w:lang w:val="en-US" w:eastAsia="zh-CN"/>
        </w:rPr>
        <w:t>33</w:t>
      </w:r>
      <w:r>
        <w:rPr>
          <w:rFonts w:cs="Times New Roman"/>
          <w:color w:val="auto"/>
          <w:highlight w:val="none"/>
        </w:rPr>
        <w:t>个单元工程。</w:t>
      </w:r>
    </w:p>
    <w:p>
      <w:pPr>
        <w:ind w:firstLine="480"/>
        <w:rPr>
          <w:rFonts w:cs="Times New Roman"/>
          <w:color w:val="auto"/>
          <w:highlight w:val="none"/>
        </w:rPr>
      </w:pPr>
      <w:r>
        <w:rPr>
          <w:rFonts w:cs="Times New Roman"/>
          <w:color w:val="auto"/>
          <w:highlight w:val="none"/>
        </w:rPr>
        <w:t>本工程为</w:t>
      </w:r>
      <w:r>
        <w:rPr>
          <w:rFonts w:hint="eastAsia" w:cs="Times New Roman"/>
          <w:color w:val="auto"/>
          <w:highlight w:val="none"/>
          <w:lang w:val="en-US" w:eastAsia="zh-CN"/>
        </w:rPr>
        <w:t>点</w:t>
      </w:r>
      <w:r>
        <w:rPr>
          <w:rFonts w:hint="eastAsia" w:cs="Times New Roman"/>
          <w:color w:val="auto"/>
          <w:highlight w:val="none"/>
        </w:rPr>
        <w:t>型</w:t>
      </w:r>
      <w:r>
        <w:rPr>
          <w:rFonts w:cs="Times New Roman"/>
          <w:color w:val="auto"/>
          <w:highlight w:val="none"/>
        </w:rPr>
        <w:t>工程</w:t>
      </w:r>
      <w:r>
        <w:rPr>
          <w:rFonts w:hint="eastAsia" w:cs="Times New Roman"/>
          <w:color w:val="auto"/>
          <w:highlight w:val="none"/>
        </w:rPr>
        <w:t>，</w:t>
      </w:r>
      <w:r>
        <w:rPr>
          <w:rFonts w:cs="Times New Roman"/>
          <w:color w:val="auto"/>
          <w:highlight w:val="none"/>
        </w:rPr>
        <w:t>评估范围的单位工程查勘比例、分部工程抽查核实比例均按照不小于</w:t>
      </w:r>
      <w:r>
        <w:rPr>
          <w:rFonts w:hint="eastAsia" w:cs="Times New Roman"/>
          <w:color w:val="auto"/>
          <w:highlight w:val="none"/>
        </w:rPr>
        <w:t>3</w:t>
      </w:r>
      <w:r>
        <w:rPr>
          <w:rFonts w:cs="Times New Roman"/>
          <w:color w:val="auto"/>
          <w:highlight w:val="none"/>
        </w:rPr>
        <w:t>0%控制，作为重要单位工程，其单位工程、分部工程抽查核实比例统一按照100%控制。涉及的</w:t>
      </w:r>
      <w:r>
        <w:rPr>
          <w:rFonts w:hint="eastAsia" w:cs="Times New Roman"/>
          <w:color w:val="auto"/>
          <w:highlight w:val="none"/>
        </w:rPr>
        <w:t>非重点评估单位，且</w:t>
      </w:r>
      <w:r>
        <w:rPr>
          <w:rFonts w:cs="Times New Roman"/>
          <w:color w:val="auto"/>
          <w:highlight w:val="none"/>
        </w:rPr>
        <w:t>单位工程及所属的分部工程数量较少，故对单位工程全部查勘，分部工程全部核实。</w:t>
      </w:r>
    </w:p>
    <w:p>
      <w:pPr>
        <w:ind w:firstLine="480"/>
        <w:rPr>
          <w:rFonts w:cs="Times New Roman"/>
          <w:color w:val="auto"/>
          <w:highlight w:val="none"/>
        </w:rPr>
      </w:pPr>
      <w:r>
        <w:rPr>
          <w:rFonts w:cs="Times New Roman"/>
          <w:color w:val="auto"/>
          <w:highlight w:val="none"/>
        </w:rPr>
        <w:t>核查采取查阅资料、听取汇报和外业调查相结合。外业调查采用全面调查和抽样调查相结合的方式。绿化面积核实主要通过红外线测距仪和皮尺现场量测推算，林草覆盖度、苗木成活率、保存率等主要通过样方调查确定。植物措施调查点位应调查林草覆盖度、成活率。</w:t>
      </w:r>
    </w:p>
    <w:p>
      <w:pPr>
        <w:ind w:firstLine="480"/>
        <w:rPr>
          <w:rFonts w:cs="Times New Roman"/>
          <w:color w:val="auto"/>
          <w:highlight w:val="none"/>
        </w:rPr>
      </w:pPr>
      <w:r>
        <w:rPr>
          <w:rFonts w:cs="Times New Roman"/>
          <w:color w:val="auto"/>
          <w:highlight w:val="none"/>
        </w:rPr>
        <w:t>考虑植物措施的实际布置形式为密植小灌木和植草，故对现场调查林草植被覆盖度和成活率的样方作以下规定：采用灌木林5m×5m、草地2m×2m样方。核查林草植被覆盖度、成活率、保存率核查林草植被覆盖度、成活率、保存率。植物措施核实面积应达到30%。</w:t>
      </w:r>
    </w:p>
    <w:p>
      <w:pPr>
        <w:numPr>
          <w:ilvl w:val="0"/>
          <w:numId w:val="19"/>
        </w:numPr>
        <w:ind w:left="0" w:firstLine="480"/>
        <w:rPr>
          <w:rFonts w:cs="Times New Roman"/>
          <w:color w:val="auto"/>
          <w:highlight w:val="none"/>
        </w:rPr>
      </w:pPr>
      <w:r>
        <w:rPr>
          <w:rFonts w:cs="Times New Roman"/>
          <w:color w:val="auto"/>
          <w:highlight w:val="none"/>
        </w:rPr>
        <w:t>核查标准</w:t>
      </w:r>
    </w:p>
    <w:p>
      <w:pPr>
        <w:ind w:firstLine="480"/>
        <w:rPr>
          <w:rFonts w:cs="Times New Roman"/>
          <w:color w:val="auto"/>
          <w:highlight w:val="none"/>
        </w:rPr>
      </w:pPr>
      <w:r>
        <w:rPr>
          <w:rFonts w:cs="Times New Roman"/>
          <w:color w:val="auto"/>
          <w:highlight w:val="none"/>
        </w:rPr>
        <w:t>植物措施调查核实工程量大于等于上报工程量的85%时认定为绿化任务完成。</w:t>
      </w:r>
    </w:p>
    <w:p>
      <w:pPr>
        <w:ind w:firstLine="480"/>
        <w:rPr>
          <w:rFonts w:cs="Times New Roman"/>
          <w:color w:val="auto"/>
          <w:highlight w:val="none"/>
        </w:rPr>
      </w:pPr>
      <w:r>
        <w:rPr>
          <w:rFonts w:cs="Times New Roman"/>
          <w:color w:val="auto"/>
          <w:highlight w:val="none"/>
        </w:rPr>
        <w:t>场地绿化灌木成活率：大于85%确认为合格，计入实施面积；在41%～85%之间需要补植，计入实施面积，同时作为遗留问题处理；不足41%(不含41%)为不合格，需重造，不计入实施面积。</w:t>
      </w:r>
    </w:p>
    <w:p>
      <w:pPr>
        <w:numPr>
          <w:ilvl w:val="0"/>
          <w:numId w:val="19"/>
        </w:numPr>
        <w:ind w:left="0" w:firstLine="480"/>
        <w:rPr>
          <w:rFonts w:cs="Times New Roman"/>
          <w:color w:val="auto"/>
          <w:highlight w:val="none"/>
        </w:rPr>
      </w:pPr>
      <w:r>
        <w:rPr>
          <w:rFonts w:cs="Times New Roman"/>
          <w:color w:val="auto"/>
          <w:highlight w:val="none"/>
        </w:rPr>
        <w:t>核查结果</w:t>
      </w:r>
    </w:p>
    <w:p>
      <w:pPr>
        <w:numPr>
          <w:ilvl w:val="0"/>
          <w:numId w:val="20"/>
        </w:numPr>
        <w:ind w:firstLine="480"/>
        <w:rPr>
          <w:rFonts w:cs="Times New Roman"/>
          <w:color w:val="auto"/>
          <w:highlight w:val="none"/>
        </w:rPr>
      </w:pPr>
      <w:r>
        <w:rPr>
          <w:rFonts w:hint="eastAsia" w:cs="Times New Roman"/>
          <w:color w:val="auto"/>
          <w:highlight w:val="none"/>
          <w:lang w:eastAsia="zh-CN"/>
        </w:rPr>
        <w:t>道路及硬化工程防治区</w:t>
      </w:r>
    </w:p>
    <w:p>
      <w:pPr>
        <w:ind w:firstLine="480"/>
        <w:rPr>
          <w:rFonts w:cs="Times New Roman"/>
          <w:color w:val="auto"/>
          <w:highlight w:val="none"/>
        </w:rPr>
      </w:pPr>
      <w:r>
        <w:rPr>
          <w:rFonts w:cs="Times New Roman"/>
          <w:color w:val="auto"/>
          <w:highlight w:val="none"/>
        </w:rPr>
        <w:t>验收组对</w:t>
      </w:r>
      <w:r>
        <w:rPr>
          <w:rFonts w:hint="eastAsia" w:cs="Times New Roman"/>
          <w:color w:val="auto"/>
          <w:highlight w:val="none"/>
        </w:rPr>
        <w:t>主体工程</w:t>
      </w:r>
      <w:r>
        <w:rPr>
          <w:rFonts w:cs="Times New Roman"/>
          <w:color w:val="auto"/>
          <w:highlight w:val="none"/>
        </w:rPr>
        <w:t>所属的1个单位工程进行查勘，单位工程查勘率100%；对该单位工程所属的</w:t>
      </w:r>
      <w:r>
        <w:rPr>
          <w:rFonts w:hint="eastAsia" w:cs="Times New Roman"/>
          <w:color w:val="auto"/>
          <w:highlight w:val="none"/>
        </w:rPr>
        <w:t>1</w:t>
      </w:r>
      <w:r>
        <w:rPr>
          <w:rFonts w:cs="Times New Roman"/>
          <w:color w:val="auto"/>
          <w:highlight w:val="none"/>
        </w:rPr>
        <w:t>个分部工程进行核查，分部工程核查率100%，核查比例满足要求。</w:t>
      </w:r>
    </w:p>
    <w:p>
      <w:pPr>
        <w:numPr>
          <w:ilvl w:val="0"/>
          <w:numId w:val="20"/>
        </w:numPr>
        <w:ind w:firstLine="480"/>
        <w:rPr>
          <w:rFonts w:cs="Times New Roman"/>
          <w:color w:val="auto"/>
          <w:highlight w:val="none"/>
        </w:rPr>
      </w:pPr>
      <w:r>
        <w:rPr>
          <w:rFonts w:hint="eastAsia" w:cs="Times New Roman"/>
          <w:color w:val="auto"/>
          <w:highlight w:val="none"/>
          <w:lang w:eastAsia="zh-CN"/>
        </w:rPr>
        <w:t>绿化防治区</w:t>
      </w:r>
    </w:p>
    <w:p>
      <w:pPr>
        <w:ind w:firstLine="480"/>
        <w:rPr>
          <w:rFonts w:cs="Times New Roman"/>
          <w:color w:val="auto"/>
          <w:highlight w:val="none"/>
        </w:rPr>
      </w:pPr>
      <w:r>
        <w:rPr>
          <w:rFonts w:cs="Times New Roman"/>
          <w:color w:val="auto"/>
          <w:highlight w:val="none"/>
        </w:rPr>
        <w:t>验收组对</w:t>
      </w:r>
      <w:r>
        <w:rPr>
          <w:rFonts w:hint="eastAsia" w:cs="Times New Roman"/>
          <w:color w:val="auto"/>
          <w:highlight w:val="none"/>
          <w:lang w:eastAsia="zh-CN"/>
        </w:rPr>
        <w:t>绿化防治区</w:t>
      </w:r>
      <w:r>
        <w:rPr>
          <w:rFonts w:cs="Times New Roman"/>
          <w:color w:val="auto"/>
          <w:highlight w:val="none"/>
        </w:rPr>
        <w:t>所属的1个单位工程进行查勘，单位工程查勘率100%；对该单位工程所属的</w:t>
      </w:r>
      <w:r>
        <w:rPr>
          <w:rFonts w:hint="eastAsia" w:cs="Times New Roman"/>
          <w:color w:val="auto"/>
          <w:highlight w:val="none"/>
          <w:lang w:val="en-US" w:eastAsia="zh-CN"/>
        </w:rPr>
        <w:t>3</w:t>
      </w:r>
      <w:r>
        <w:rPr>
          <w:rFonts w:cs="Times New Roman"/>
          <w:color w:val="auto"/>
          <w:highlight w:val="none"/>
        </w:rPr>
        <w:t>个分部工程进行核查，分部工程核查率100%，核查比例满足要求。</w:t>
      </w:r>
    </w:p>
    <w:p>
      <w:pPr>
        <w:ind w:firstLine="480"/>
        <w:rPr>
          <w:rFonts w:cs="Times New Roman"/>
          <w:color w:val="auto"/>
          <w:highlight w:val="none"/>
        </w:rPr>
      </w:pPr>
      <w:r>
        <w:rPr>
          <w:rFonts w:cs="Times New Roman"/>
          <w:color w:val="auto"/>
          <w:highlight w:val="none"/>
        </w:rPr>
        <w:t>经查阅工程设计、监测等资料及现场核查，</w:t>
      </w:r>
      <w:r>
        <w:rPr>
          <w:rFonts w:hint="eastAsia" w:cs="Times New Roman"/>
          <w:color w:val="auto"/>
          <w:highlight w:val="none"/>
        </w:rPr>
        <w:t>植被</w:t>
      </w:r>
      <w:r>
        <w:rPr>
          <w:rFonts w:cs="Times New Roman"/>
          <w:color w:val="auto"/>
          <w:highlight w:val="none"/>
        </w:rPr>
        <w:t>存活率达到85%以上，绿化效果良好，质量总体合格。</w:t>
      </w:r>
    </w:p>
    <w:p>
      <w:pPr>
        <w:ind w:firstLine="480"/>
        <w:rPr>
          <w:rFonts w:cs="Times New Roman"/>
          <w:color w:val="auto"/>
          <w:highlight w:val="none"/>
        </w:rPr>
      </w:pPr>
      <w:r>
        <w:rPr>
          <w:rFonts w:cs="Times New Roman"/>
          <w:color w:val="auto"/>
          <w:highlight w:val="none"/>
        </w:rPr>
        <w:t>（6）植物措施质量评价</w:t>
      </w:r>
    </w:p>
    <w:p>
      <w:pPr>
        <w:ind w:firstLine="480"/>
        <w:rPr>
          <w:rFonts w:cs="Times New Roman"/>
          <w:color w:val="auto"/>
          <w:highlight w:val="none"/>
        </w:rPr>
      </w:pPr>
      <w:r>
        <w:rPr>
          <w:rFonts w:cs="Times New Roman"/>
          <w:color w:val="auto"/>
          <w:highlight w:val="none"/>
        </w:rPr>
        <w:t>验收组检查了施工管理制度、工程质量检验和质量评定记录，现场调查了各防治分区实施的水土保持植物措施后，认为水土保持植物措施的施工质量检验和质量评定资料齐全，程序完善，均有施工和建设单位签章，符合质量管理体系要求。</w:t>
      </w:r>
    </w:p>
    <w:p>
      <w:pPr>
        <w:ind w:firstLine="480"/>
        <w:rPr>
          <w:rFonts w:cs="Times New Roman"/>
          <w:color w:val="auto"/>
          <w:highlight w:val="none"/>
        </w:rPr>
      </w:pPr>
      <w:r>
        <w:rPr>
          <w:rFonts w:cs="Times New Roman"/>
          <w:color w:val="auto"/>
          <w:highlight w:val="none"/>
        </w:rPr>
        <w:t>经验收组查阅施工管理制度、竣工总结报告、工程质量验收评定资料，以及现场核查</w:t>
      </w:r>
      <w:r>
        <w:rPr>
          <w:rFonts w:hint="eastAsia" w:cs="Times New Roman"/>
          <w:color w:val="auto"/>
          <w:highlight w:val="none"/>
          <w:lang w:val="en-US" w:eastAsia="zh-CN"/>
        </w:rPr>
        <w:t>4</w:t>
      </w:r>
      <w:r>
        <w:rPr>
          <w:rFonts w:cs="Times New Roman"/>
          <w:color w:val="auto"/>
          <w:highlight w:val="none"/>
        </w:rPr>
        <w:t>个分部工程后认为：</w:t>
      </w:r>
    </w:p>
    <w:p>
      <w:pPr>
        <w:ind w:left="480" w:leftChars="200" w:firstLine="0" w:firstLineChars="0"/>
        <w:rPr>
          <w:rFonts w:cs="Times New Roman"/>
          <w:color w:val="auto"/>
          <w:highlight w:val="none"/>
        </w:rPr>
      </w:pPr>
      <w:r>
        <w:rPr>
          <w:rFonts w:cs="Times New Roman"/>
          <w:color w:val="auto"/>
          <w:highlight w:val="none"/>
        </w:rPr>
        <w:t>植物覆盖率高、无秃斑、生长状况良好，符合水土保持要求。</w:t>
      </w:r>
    </w:p>
    <w:p>
      <w:pPr>
        <w:ind w:firstLine="480"/>
        <w:rPr>
          <w:rFonts w:cs="Times New Roman"/>
          <w:color w:val="auto"/>
          <w:highlight w:val="none"/>
        </w:rPr>
      </w:pPr>
      <w:r>
        <w:rPr>
          <w:rFonts w:cs="Times New Roman"/>
          <w:color w:val="auto"/>
          <w:highlight w:val="none"/>
        </w:rPr>
        <w:t>水土保持植物措施核查结果汇总见表4.2-3。</w:t>
      </w:r>
    </w:p>
    <w:p>
      <w:pPr>
        <w:pStyle w:val="15"/>
        <w:rPr>
          <w:color w:val="auto"/>
          <w:highlight w:val="none"/>
        </w:rPr>
      </w:pPr>
    </w:p>
    <w:p>
      <w:pPr>
        <w:pStyle w:val="15"/>
        <w:rPr>
          <w:color w:val="auto"/>
          <w:highlight w:val="none"/>
        </w:rPr>
      </w:pPr>
    </w:p>
    <w:p>
      <w:pPr>
        <w:pStyle w:val="15"/>
        <w:rPr>
          <w:color w:val="auto"/>
          <w:highlight w:val="none"/>
        </w:rPr>
      </w:pPr>
    </w:p>
    <w:p>
      <w:pPr>
        <w:pStyle w:val="15"/>
        <w:rPr>
          <w:color w:val="auto"/>
          <w:highlight w:val="none"/>
        </w:rPr>
      </w:pPr>
    </w:p>
    <w:p>
      <w:pPr>
        <w:pStyle w:val="15"/>
        <w:rPr>
          <w:color w:val="auto"/>
          <w:highlight w:val="none"/>
        </w:rPr>
      </w:pPr>
      <w:r>
        <w:rPr>
          <w:color w:val="auto"/>
          <w:highlight w:val="none"/>
        </w:rPr>
        <w:t>表4.2-3  水土保持植物措施核查结果汇总表</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932"/>
        <w:gridCol w:w="1165"/>
        <w:gridCol w:w="643"/>
        <w:gridCol w:w="1304"/>
        <w:gridCol w:w="501"/>
        <w:gridCol w:w="524"/>
        <w:gridCol w:w="570"/>
        <w:gridCol w:w="608"/>
        <w:gridCol w:w="570"/>
        <w:gridCol w:w="608"/>
        <w:gridCol w:w="67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80" w:hRule="atLeast"/>
        </w:trPr>
        <w:tc>
          <w:tcPr>
            <w:tcW w:w="1061"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bookmarkStart w:id="22" w:name="_Toc31614"/>
            <w:r>
              <w:rPr>
                <w:rFonts w:hint="eastAsia"/>
                <w:color w:val="auto"/>
                <w:highlight w:val="none"/>
                <w:lang w:val="en-US" w:eastAsia="zh-CN"/>
              </w:rPr>
              <w:t>防治分区</w:t>
            </w:r>
          </w:p>
        </w:tc>
        <w:tc>
          <w:tcPr>
            <w:tcW w:w="639"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单位工程</w:t>
            </w:r>
          </w:p>
        </w:tc>
        <w:tc>
          <w:tcPr>
            <w:tcW w:w="35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单位工程数量</w:t>
            </w:r>
          </w:p>
        </w:tc>
        <w:tc>
          <w:tcPr>
            <w:tcW w:w="716"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分部工程</w:t>
            </w:r>
          </w:p>
        </w:tc>
        <w:tc>
          <w:tcPr>
            <w:tcW w:w="275"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分部工程数量</w:t>
            </w:r>
          </w:p>
        </w:tc>
        <w:tc>
          <w:tcPr>
            <w:tcW w:w="288"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单元工程数量</w:t>
            </w:r>
          </w:p>
        </w:tc>
        <w:tc>
          <w:tcPr>
            <w:tcW w:w="31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抽查数（个）</w:t>
            </w:r>
          </w:p>
        </w:tc>
        <w:tc>
          <w:tcPr>
            <w:tcW w:w="334"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抽查比例（%）</w:t>
            </w:r>
          </w:p>
        </w:tc>
        <w:tc>
          <w:tcPr>
            <w:tcW w:w="313"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合格数（个）</w:t>
            </w:r>
          </w:p>
        </w:tc>
        <w:tc>
          <w:tcPr>
            <w:tcW w:w="334"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合格率(%)</w:t>
            </w:r>
          </w:p>
        </w:tc>
        <w:tc>
          <w:tcPr>
            <w:tcW w:w="369"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质量评定等级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61" w:type="pct"/>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eastAsia"/>
                <w:color w:val="auto"/>
                <w:highlight w:val="none"/>
                <w:lang w:val="en-US" w:eastAsia="zh-CN"/>
              </w:rPr>
              <w:t>道路及硬化工程防治区</w:t>
            </w:r>
          </w:p>
        </w:tc>
        <w:tc>
          <w:tcPr>
            <w:tcW w:w="63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植被建设工程</w:t>
            </w:r>
          </w:p>
        </w:tc>
        <w:tc>
          <w:tcPr>
            <w:tcW w:w="3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71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△点片状植被</w:t>
            </w:r>
          </w:p>
        </w:tc>
        <w:tc>
          <w:tcPr>
            <w:tcW w:w="27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28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11</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061"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绿化防治区</w:t>
            </w:r>
          </w:p>
        </w:tc>
        <w:tc>
          <w:tcPr>
            <w:tcW w:w="639"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植被建设工程</w:t>
            </w:r>
          </w:p>
        </w:tc>
        <w:tc>
          <w:tcPr>
            <w:tcW w:w="353" w:type="pct"/>
            <w:vMerge w:val="restar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71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△点片状植被</w:t>
            </w:r>
          </w:p>
        </w:tc>
        <w:tc>
          <w:tcPr>
            <w:tcW w:w="27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28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61"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39"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353"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71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△点片状植被</w:t>
            </w:r>
          </w:p>
        </w:tc>
        <w:tc>
          <w:tcPr>
            <w:tcW w:w="27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28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61"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639"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353" w:type="pct"/>
            <w:vMerge w:val="continue"/>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71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△点片状植被</w:t>
            </w:r>
          </w:p>
        </w:tc>
        <w:tc>
          <w:tcPr>
            <w:tcW w:w="27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w:t>
            </w:r>
          </w:p>
        </w:tc>
        <w:tc>
          <w:tcPr>
            <w:tcW w:w="28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701" w:type="pct"/>
            <w:gridSpan w:val="2"/>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合计</w:t>
            </w:r>
          </w:p>
        </w:tc>
        <w:tc>
          <w:tcPr>
            <w:tcW w:w="35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2</w:t>
            </w:r>
          </w:p>
        </w:tc>
        <w:tc>
          <w:tcPr>
            <w:tcW w:w="71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p>
        </w:tc>
        <w:tc>
          <w:tcPr>
            <w:tcW w:w="275"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4</w:t>
            </w:r>
          </w:p>
        </w:tc>
        <w:tc>
          <w:tcPr>
            <w:tcW w:w="288"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33</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33</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13"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33</w:t>
            </w:r>
          </w:p>
        </w:tc>
        <w:tc>
          <w:tcPr>
            <w:tcW w:w="334"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100</w:t>
            </w:r>
          </w:p>
        </w:tc>
        <w:tc>
          <w:tcPr>
            <w:tcW w:w="369"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rPr>
            </w:pPr>
            <w:r>
              <w:rPr>
                <w:rFonts w:hint="eastAsia"/>
                <w:color w:val="auto"/>
                <w:highlight w:val="none"/>
                <w:lang w:val="en-US" w:eastAsia="zh-CN"/>
              </w:rPr>
              <w:t>合格</w:t>
            </w:r>
          </w:p>
        </w:tc>
      </w:tr>
    </w:tbl>
    <w:p>
      <w:pPr>
        <w:pStyle w:val="3"/>
        <w:rPr>
          <w:rFonts w:cs="Times New Roman"/>
          <w:color w:val="auto"/>
          <w:highlight w:val="none"/>
        </w:rPr>
      </w:pPr>
      <w:r>
        <w:rPr>
          <w:rFonts w:cs="Times New Roman"/>
          <w:color w:val="auto"/>
          <w:highlight w:val="none"/>
        </w:rPr>
        <w:t>弃渣场稳定性评估</w:t>
      </w:r>
      <w:bookmarkEnd w:id="22"/>
    </w:p>
    <w:p>
      <w:pPr>
        <w:ind w:firstLine="480"/>
        <w:rPr>
          <w:rFonts w:cs="Times New Roman"/>
          <w:color w:val="auto"/>
          <w:highlight w:val="none"/>
        </w:rPr>
      </w:pPr>
      <w:r>
        <w:rPr>
          <w:rFonts w:hint="eastAsia" w:cs="Times New Roman"/>
          <w:color w:val="auto"/>
          <w:highlight w:val="none"/>
        </w:rPr>
        <w:t>根据《中华人民共和国水土保持法》(中华人民共和国主席令2010年第39号)、《开发建设项目水土保持技术规范》(GB 50433-2018)、《水土保持工程设计规范》(GB 51018-2014)、《水利水电工程水土保持技术规范》(SL575-2012)等相关技术规范和渣体边坡稳定要求，需对渣场下游有敏感对象，渣场失事对下游影响，4级以上和周边涉及民居或重要防护设施的弃渣场进行了稳定性分析。</w:t>
      </w:r>
    </w:p>
    <w:p>
      <w:pPr>
        <w:ind w:firstLine="480"/>
        <w:rPr>
          <w:color w:val="auto"/>
          <w:highlight w:val="none"/>
        </w:rPr>
      </w:pPr>
      <w:r>
        <w:rPr>
          <w:rFonts w:hint="eastAsia"/>
          <w:color w:val="auto"/>
          <w:highlight w:val="none"/>
          <w:lang w:val="en-US" w:eastAsia="zh-CN"/>
        </w:rPr>
        <w:t>本项目不涉及弃渣场</w:t>
      </w:r>
      <w:r>
        <w:rPr>
          <w:rFonts w:hint="eastAsia"/>
          <w:color w:val="auto"/>
          <w:highlight w:val="none"/>
        </w:rPr>
        <w:t>，故不对渣场进行稳定性评估</w:t>
      </w:r>
      <w:r>
        <w:rPr>
          <w:color w:val="auto"/>
          <w:highlight w:val="none"/>
        </w:rPr>
        <w:t>。</w:t>
      </w:r>
    </w:p>
    <w:p>
      <w:pPr>
        <w:pStyle w:val="3"/>
        <w:rPr>
          <w:rFonts w:cs="Times New Roman"/>
          <w:color w:val="auto"/>
          <w:highlight w:val="none"/>
        </w:rPr>
      </w:pPr>
      <w:bookmarkStart w:id="23" w:name="_Toc10023"/>
      <w:r>
        <w:rPr>
          <w:rFonts w:cs="Times New Roman"/>
          <w:color w:val="auto"/>
          <w:highlight w:val="none"/>
        </w:rPr>
        <w:t>总体质量评价</w:t>
      </w:r>
      <w:bookmarkEnd w:id="23"/>
    </w:p>
    <w:p>
      <w:pPr>
        <w:ind w:firstLine="480"/>
        <w:rPr>
          <w:rFonts w:cs="Times New Roman"/>
          <w:color w:val="auto"/>
          <w:highlight w:val="none"/>
        </w:rPr>
      </w:pPr>
      <w:r>
        <w:rPr>
          <w:rFonts w:cs="Times New Roman"/>
          <w:color w:val="auto"/>
          <w:highlight w:val="none"/>
        </w:rPr>
        <w:t>建设单位在工程建设过程中，建立了一套完整的质量保证体系，对进入工程实体的原材料、中间产品和成品进行抽检、试验，保证了工程质量；水土保持设施的工程质量检验评定资料签字齐全，监理对水土保持设施的质量验收结论为合格。</w:t>
      </w:r>
    </w:p>
    <w:p>
      <w:pPr>
        <w:ind w:firstLine="480"/>
        <w:rPr>
          <w:rFonts w:cs="Times New Roman"/>
          <w:color w:val="auto"/>
          <w:highlight w:val="none"/>
        </w:rPr>
      </w:pPr>
      <w:r>
        <w:rPr>
          <w:rFonts w:cs="Times New Roman"/>
          <w:color w:val="auto"/>
          <w:highlight w:val="none"/>
        </w:rPr>
        <w:t>本工程水土保持工程措施共计</w:t>
      </w:r>
      <w:r>
        <w:rPr>
          <w:rFonts w:hint="eastAsia" w:cs="Times New Roman"/>
          <w:color w:val="auto"/>
          <w:highlight w:val="none"/>
          <w:lang w:val="en-US" w:eastAsia="zh-CN"/>
        </w:rPr>
        <w:t>4</w:t>
      </w:r>
      <w:r>
        <w:rPr>
          <w:rFonts w:cs="Times New Roman"/>
          <w:color w:val="auto"/>
          <w:highlight w:val="none"/>
        </w:rPr>
        <w:t>个单位工程，</w:t>
      </w:r>
      <w:r>
        <w:rPr>
          <w:rFonts w:hint="eastAsia" w:cs="Times New Roman"/>
          <w:color w:val="auto"/>
          <w:highlight w:val="none"/>
          <w:lang w:val="en-US" w:eastAsia="zh-CN"/>
        </w:rPr>
        <w:t>4</w:t>
      </w:r>
      <w:r>
        <w:rPr>
          <w:rFonts w:cs="Times New Roman"/>
          <w:color w:val="auto"/>
          <w:highlight w:val="none"/>
        </w:rPr>
        <w:t>个分部工程，验收编制工作组全面查勘了</w:t>
      </w:r>
      <w:r>
        <w:rPr>
          <w:rFonts w:hint="eastAsia" w:cs="Times New Roman"/>
          <w:color w:val="auto"/>
          <w:highlight w:val="none"/>
          <w:lang w:val="en-US" w:eastAsia="zh-CN"/>
        </w:rPr>
        <w:t>4</w:t>
      </w:r>
      <w:r>
        <w:rPr>
          <w:rFonts w:cs="Times New Roman"/>
          <w:color w:val="auto"/>
          <w:highlight w:val="none"/>
        </w:rPr>
        <w:t>个单位工程，全面核查了</w:t>
      </w:r>
      <w:r>
        <w:rPr>
          <w:rFonts w:hint="eastAsia" w:cs="Times New Roman"/>
          <w:color w:val="auto"/>
          <w:highlight w:val="none"/>
          <w:lang w:val="en-US" w:eastAsia="zh-CN"/>
        </w:rPr>
        <w:t>4</w:t>
      </w:r>
      <w:r>
        <w:rPr>
          <w:rFonts w:cs="Times New Roman"/>
          <w:color w:val="auto"/>
          <w:highlight w:val="none"/>
        </w:rPr>
        <w:t>个分部工程，单位工程核查率达到100％，分部工程查勘，核查率达到100％。核查结果表明：工程完成的水土保持工程措施已按主体工程和水土保持要求建成，质量总体合格。</w:t>
      </w:r>
    </w:p>
    <w:p>
      <w:pPr>
        <w:ind w:firstLine="480"/>
        <w:rPr>
          <w:rFonts w:cs="Times New Roman"/>
          <w:color w:val="auto"/>
          <w:highlight w:val="none"/>
        </w:rPr>
      </w:pPr>
      <w:r>
        <w:rPr>
          <w:rFonts w:cs="Times New Roman"/>
          <w:color w:val="auto"/>
          <w:highlight w:val="none"/>
        </w:rPr>
        <w:t>本工程水土保持植物措施共计</w:t>
      </w:r>
      <w:r>
        <w:rPr>
          <w:rFonts w:hint="eastAsia" w:cs="Times New Roman"/>
          <w:color w:val="auto"/>
          <w:highlight w:val="none"/>
        </w:rPr>
        <w:t>2</w:t>
      </w:r>
      <w:r>
        <w:rPr>
          <w:rFonts w:cs="Times New Roman"/>
          <w:color w:val="auto"/>
          <w:highlight w:val="none"/>
        </w:rPr>
        <w:t>个单位工程，</w:t>
      </w:r>
      <w:r>
        <w:rPr>
          <w:rFonts w:hint="eastAsia" w:cs="Times New Roman"/>
          <w:color w:val="auto"/>
          <w:highlight w:val="none"/>
          <w:lang w:val="en-US" w:eastAsia="zh-CN"/>
        </w:rPr>
        <w:t>4</w:t>
      </w:r>
      <w:r>
        <w:rPr>
          <w:rFonts w:cs="Times New Roman"/>
          <w:color w:val="auto"/>
          <w:highlight w:val="none"/>
        </w:rPr>
        <w:t>个分部工程，验收编制工作组全面查勘了</w:t>
      </w:r>
      <w:r>
        <w:rPr>
          <w:rFonts w:hint="eastAsia" w:cs="Times New Roman"/>
          <w:color w:val="auto"/>
          <w:highlight w:val="none"/>
        </w:rPr>
        <w:t>2</w:t>
      </w:r>
      <w:r>
        <w:rPr>
          <w:rFonts w:cs="Times New Roman"/>
          <w:color w:val="auto"/>
          <w:highlight w:val="none"/>
        </w:rPr>
        <w:t>个单位工程，全面核查了</w:t>
      </w:r>
      <w:r>
        <w:rPr>
          <w:rFonts w:hint="eastAsia" w:cs="Times New Roman"/>
          <w:color w:val="auto"/>
          <w:highlight w:val="none"/>
          <w:lang w:val="en-US" w:eastAsia="zh-CN"/>
        </w:rPr>
        <w:t>4</w:t>
      </w:r>
      <w:r>
        <w:rPr>
          <w:rFonts w:cs="Times New Roman"/>
          <w:color w:val="auto"/>
          <w:highlight w:val="none"/>
        </w:rPr>
        <w:t>个分部工程，单位工程核查率达到100％，分部工程查勘，核查率达到100％。核查结果表明，工程完成的水土保持植物措施已按主体工程要求建成，质量合格。</w:t>
      </w:r>
    </w:p>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auto"/>
          <w:highlight w:val="none"/>
        </w:rPr>
        <w:t>综上，经查阅资料，以及现场抽查后认为：工程完成的水土保持措施质量检验和验收评定程序符合要求，工程质量合格，已起到防治水土流失作用，满足竣工验收条件。</w:t>
      </w:r>
    </w:p>
    <w:p>
      <w:pPr>
        <w:pStyle w:val="2"/>
        <w:rPr>
          <w:rFonts w:cs="Times New Roman"/>
          <w:color w:val="auto"/>
          <w:highlight w:val="none"/>
        </w:rPr>
      </w:pPr>
      <w:bookmarkStart w:id="24" w:name="_Toc29007"/>
      <w:r>
        <w:rPr>
          <w:rFonts w:cs="Times New Roman"/>
          <w:color w:val="auto"/>
          <w:highlight w:val="none"/>
        </w:rPr>
        <w:t>项目初期运行及水土保持效果</w:t>
      </w:r>
      <w:bookmarkEnd w:id="24"/>
    </w:p>
    <w:p>
      <w:pPr>
        <w:pStyle w:val="3"/>
        <w:rPr>
          <w:rFonts w:cs="Times New Roman"/>
          <w:color w:val="auto"/>
          <w:highlight w:val="none"/>
        </w:rPr>
      </w:pPr>
      <w:bookmarkStart w:id="25" w:name="_Toc17184"/>
      <w:r>
        <w:rPr>
          <w:rFonts w:cs="Times New Roman"/>
          <w:color w:val="auto"/>
          <w:highlight w:val="none"/>
        </w:rPr>
        <w:t>初期运行情况</w:t>
      </w:r>
      <w:bookmarkEnd w:id="25"/>
    </w:p>
    <w:p>
      <w:pPr>
        <w:ind w:firstLine="480"/>
        <w:rPr>
          <w:rFonts w:cs="Times New Roman"/>
          <w:color w:val="auto"/>
          <w:highlight w:val="none"/>
        </w:rPr>
      </w:pPr>
      <w:r>
        <w:rPr>
          <w:rFonts w:cs="Times New Roman"/>
          <w:color w:val="auto"/>
          <w:highlight w:val="none"/>
        </w:rPr>
        <w:t>本项目各防治分区水土保持措施随主体工程建设相继实施完成，起到了良好的水土保持作用。经现场调查，从水土保持工程实施至今，各项防护措施较好防治了水土流失危害的发生。由于建设单位积极采取了设计的水土保持措施，施工期间未造成较大的水土流失和危害，随着水土保持设施的实施，工程区生态环境得到了恢复和改善。目前各区域的水土保持工程基本稳定，已完成的水土保持设施运行状况较好，正发挥其应有的水土保持作用，有效地控制了工程区的水土流失，未对周边植被造成危害。</w:t>
      </w:r>
    </w:p>
    <w:p>
      <w:pPr>
        <w:ind w:firstLine="480"/>
        <w:rPr>
          <w:rFonts w:cs="Times New Roman"/>
          <w:color w:val="auto"/>
          <w:highlight w:val="none"/>
        </w:rPr>
      </w:pPr>
      <w:r>
        <w:rPr>
          <w:rFonts w:cs="Times New Roman"/>
          <w:color w:val="auto"/>
          <w:highlight w:val="none"/>
        </w:rPr>
        <w:t>本次验收调查结果表明，已完成的工程中，各项措施达到设计要求，符合开发建设项目水土保持技术规范要求，经综合评定，本项目水土保持工程试运行情况基本达到设计标准，符合</w:t>
      </w:r>
      <w:r>
        <w:rPr>
          <w:rFonts w:hint="eastAsia" w:cs="Times New Roman"/>
          <w:color w:val="auto"/>
          <w:highlight w:val="none"/>
        </w:rPr>
        <w:t>生产</w:t>
      </w:r>
      <w:r>
        <w:rPr>
          <w:rFonts w:cs="Times New Roman"/>
          <w:color w:val="auto"/>
          <w:highlight w:val="none"/>
        </w:rPr>
        <w:t>建设项目水土保持相关要求。</w:t>
      </w:r>
    </w:p>
    <w:p>
      <w:pPr>
        <w:pStyle w:val="3"/>
        <w:rPr>
          <w:rFonts w:cs="Times New Roman"/>
          <w:color w:val="auto"/>
          <w:highlight w:val="none"/>
        </w:rPr>
      </w:pPr>
      <w:bookmarkStart w:id="26" w:name="_Toc13761"/>
      <w:r>
        <w:rPr>
          <w:rFonts w:cs="Times New Roman"/>
          <w:color w:val="auto"/>
          <w:highlight w:val="none"/>
        </w:rPr>
        <w:t>水土保持效果</w:t>
      </w:r>
      <w:bookmarkEnd w:id="26"/>
    </w:p>
    <w:p>
      <w:pPr>
        <w:pStyle w:val="4"/>
        <w:rPr>
          <w:rFonts w:cs="Times New Roman"/>
          <w:color w:val="auto"/>
          <w:highlight w:val="none"/>
        </w:rPr>
      </w:pPr>
      <w:r>
        <w:rPr>
          <w:rFonts w:cs="Times New Roman"/>
          <w:color w:val="auto"/>
          <w:highlight w:val="none"/>
        </w:rPr>
        <w:t>验收标准</w:t>
      </w:r>
    </w:p>
    <w:p>
      <w:pPr>
        <w:ind w:firstLine="480"/>
        <w:rPr>
          <w:rFonts w:cs="Times New Roman"/>
          <w:color w:val="auto"/>
          <w:highlight w:val="none"/>
        </w:rPr>
      </w:pPr>
      <w:r>
        <w:rPr>
          <w:rFonts w:cs="Times New Roman"/>
          <w:color w:val="auto"/>
          <w:highlight w:val="none"/>
        </w:rPr>
        <w:t>本工程水土保持效果根据《开发建设项目水土流失防治标准》(GB 50434-20</w:t>
      </w:r>
      <w:r>
        <w:rPr>
          <w:rFonts w:hint="eastAsia" w:cs="Times New Roman"/>
          <w:color w:val="auto"/>
          <w:highlight w:val="none"/>
        </w:rPr>
        <w:t>1</w:t>
      </w:r>
      <w:r>
        <w:rPr>
          <w:rFonts w:cs="Times New Roman"/>
          <w:color w:val="auto"/>
          <w:highlight w:val="none"/>
        </w:rPr>
        <w:t>8)的要求，按照建设类项目一级标准试运行期的要求进行。批复的水土保持方案确定的防治目标见表5.2-1所示。</w:t>
      </w:r>
    </w:p>
    <w:p>
      <w:pPr>
        <w:pStyle w:val="15"/>
        <w:rPr>
          <w:rFonts w:cs="Times New Roman"/>
          <w:color w:val="auto"/>
          <w:highlight w:val="none"/>
        </w:rPr>
      </w:pPr>
      <w:r>
        <w:rPr>
          <w:rFonts w:cs="Times New Roman"/>
          <w:color w:val="auto"/>
          <w:highlight w:val="none"/>
        </w:rPr>
        <w:t>表5.2-1 批复的水土保持方案确定的防治目标表</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52"/>
        <w:gridCol w:w="812"/>
        <w:gridCol w:w="1089"/>
        <w:gridCol w:w="1090"/>
        <w:gridCol w:w="1423"/>
        <w:gridCol w:w="1063"/>
        <w:gridCol w:w="776"/>
        <w:gridCol w:w="10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51" w:type="pct"/>
            <w:vMerge w:val="restart"/>
            <w:shd w:val="clear" w:color="auto" w:fill="auto"/>
            <w:vAlign w:val="center"/>
          </w:tcPr>
          <w:p>
            <w:pPr>
              <w:pStyle w:val="16"/>
              <w:rPr>
                <w:color w:val="auto"/>
                <w:highlight w:val="none"/>
              </w:rPr>
            </w:pPr>
            <w:r>
              <w:rPr>
                <w:color w:val="auto"/>
                <w:highlight w:val="none"/>
              </w:rPr>
              <w:t>项目名称</w:t>
            </w:r>
          </w:p>
        </w:tc>
        <w:tc>
          <w:tcPr>
            <w:tcW w:w="1023" w:type="pct"/>
            <w:gridSpan w:val="2"/>
            <w:shd w:val="clear" w:color="auto" w:fill="auto"/>
            <w:vAlign w:val="center"/>
          </w:tcPr>
          <w:p>
            <w:pPr>
              <w:pStyle w:val="16"/>
              <w:rPr>
                <w:color w:val="auto"/>
                <w:highlight w:val="none"/>
              </w:rPr>
            </w:pPr>
            <w:r>
              <w:rPr>
                <w:color w:val="auto"/>
                <w:highlight w:val="none"/>
              </w:rPr>
              <w:t>标准规定值</w:t>
            </w:r>
          </w:p>
        </w:tc>
        <w:tc>
          <w:tcPr>
            <w:tcW w:w="1925" w:type="pct"/>
            <w:gridSpan w:val="3"/>
            <w:shd w:val="clear" w:color="auto" w:fill="auto"/>
            <w:vAlign w:val="center"/>
          </w:tcPr>
          <w:p>
            <w:pPr>
              <w:pStyle w:val="16"/>
              <w:rPr>
                <w:color w:val="auto"/>
                <w:highlight w:val="none"/>
              </w:rPr>
            </w:pPr>
            <w:r>
              <w:rPr>
                <w:color w:val="auto"/>
                <w:highlight w:val="none"/>
              </w:rPr>
              <w:t>修正值</w:t>
            </w:r>
          </w:p>
        </w:tc>
        <w:tc>
          <w:tcPr>
            <w:tcW w:w="1002" w:type="pct"/>
            <w:gridSpan w:val="2"/>
            <w:shd w:val="clear" w:color="auto" w:fill="auto"/>
            <w:vAlign w:val="center"/>
          </w:tcPr>
          <w:p>
            <w:pPr>
              <w:pStyle w:val="16"/>
              <w:rPr>
                <w:color w:val="auto"/>
                <w:highlight w:val="none"/>
              </w:rPr>
            </w:pPr>
            <w:r>
              <w:rPr>
                <w:color w:val="auto"/>
                <w:highlight w:val="none"/>
              </w:rPr>
              <w:t>采用标准值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51" w:type="pct"/>
            <w:vMerge w:val="continue"/>
            <w:shd w:val="clear" w:color="auto" w:fill="auto"/>
            <w:vAlign w:val="center"/>
          </w:tcPr>
          <w:p>
            <w:pPr>
              <w:pStyle w:val="16"/>
              <w:rPr>
                <w:color w:val="auto"/>
                <w:highlight w:val="none"/>
              </w:rPr>
            </w:pPr>
          </w:p>
        </w:tc>
        <w:tc>
          <w:tcPr>
            <w:tcW w:w="437" w:type="pct"/>
            <w:shd w:val="clear" w:color="auto" w:fill="auto"/>
            <w:vAlign w:val="center"/>
          </w:tcPr>
          <w:p>
            <w:pPr>
              <w:pStyle w:val="16"/>
              <w:rPr>
                <w:color w:val="auto"/>
                <w:highlight w:val="none"/>
              </w:rPr>
            </w:pPr>
            <w:r>
              <w:rPr>
                <w:color w:val="auto"/>
                <w:highlight w:val="none"/>
              </w:rPr>
              <w:t>施工期</w:t>
            </w:r>
          </w:p>
        </w:tc>
        <w:tc>
          <w:tcPr>
            <w:tcW w:w="586" w:type="pct"/>
            <w:shd w:val="clear" w:color="auto" w:fill="auto"/>
            <w:vAlign w:val="center"/>
          </w:tcPr>
          <w:p>
            <w:pPr>
              <w:pStyle w:val="16"/>
              <w:rPr>
                <w:color w:val="auto"/>
                <w:highlight w:val="none"/>
              </w:rPr>
            </w:pPr>
            <w:r>
              <w:rPr>
                <w:color w:val="auto"/>
                <w:highlight w:val="none"/>
              </w:rPr>
              <w:t>试运行期</w:t>
            </w:r>
          </w:p>
        </w:tc>
        <w:tc>
          <w:tcPr>
            <w:tcW w:w="587" w:type="pct"/>
            <w:shd w:val="clear" w:color="auto" w:fill="auto"/>
            <w:vAlign w:val="center"/>
          </w:tcPr>
          <w:p>
            <w:pPr>
              <w:pStyle w:val="16"/>
              <w:rPr>
                <w:color w:val="auto"/>
                <w:highlight w:val="none"/>
              </w:rPr>
            </w:pPr>
            <w:r>
              <w:rPr>
                <w:color w:val="auto"/>
                <w:highlight w:val="none"/>
              </w:rPr>
              <w:t>降水量修正值</w:t>
            </w:r>
          </w:p>
        </w:tc>
        <w:tc>
          <w:tcPr>
            <w:tcW w:w="766" w:type="pct"/>
            <w:shd w:val="clear" w:color="auto" w:fill="auto"/>
            <w:vAlign w:val="center"/>
          </w:tcPr>
          <w:p>
            <w:pPr>
              <w:pStyle w:val="16"/>
              <w:rPr>
                <w:color w:val="auto"/>
                <w:highlight w:val="none"/>
              </w:rPr>
            </w:pPr>
            <w:r>
              <w:rPr>
                <w:color w:val="auto"/>
                <w:highlight w:val="none"/>
              </w:rPr>
              <w:t>土壤侵蚀强度修正值</w:t>
            </w:r>
          </w:p>
        </w:tc>
        <w:tc>
          <w:tcPr>
            <w:tcW w:w="572" w:type="pct"/>
            <w:shd w:val="clear" w:color="auto" w:fill="auto"/>
            <w:vAlign w:val="center"/>
          </w:tcPr>
          <w:p>
            <w:pPr>
              <w:pStyle w:val="16"/>
              <w:rPr>
                <w:color w:val="auto"/>
                <w:highlight w:val="none"/>
              </w:rPr>
            </w:pPr>
            <w:r>
              <w:rPr>
                <w:color w:val="auto"/>
                <w:highlight w:val="none"/>
              </w:rPr>
              <w:t>地形修正值</w:t>
            </w:r>
          </w:p>
        </w:tc>
        <w:tc>
          <w:tcPr>
            <w:tcW w:w="418" w:type="pct"/>
            <w:shd w:val="clear" w:color="auto" w:fill="auto"/>
            <w:vAlign w:val="center"/>
          </w:tcPr>
          <w:p>
            <w:pPr>
              <w:pStyle w:val="16"/>
              <w:rPr>
                <w:color w:val="auto"/>
                <w:highlight w:val="none"/>
              </w:rPr>
            </w:pPr>
            <w:r>
              <w:rPr>
                <w:color w:val="auto"/>
                <w:highlight w:val="none"/>
              </w:rPr>
              <w:t>施工期</w:t>
            </w:r>
          </w:p>
        </w:tc>
        <w:tc>
          <w:tcPr>
            <w:tcW w:w="584" w:type="pct"/>
            <w:shd w:val="clear" w:color="auto" w:fill="auto"/>
            <w:vAlign w:val="center"/>
          </w:tcPr>
          <w:p>
            <w:pPr>
              <w:pStyle w:val="16"/>
              <w:rPr>
                <w:color w:val="auto"/>
                <w:highlight w:val="none"/>
              </w:rPr>
            </w:pPr>
            <w:r>
              <w:rPr>
                <w:color w:val="auto"/>
                <w:highlight w:val="none"/>
              </w:rPr>
              <w:t>试运行期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51" w:type="pct"/>
            <w:shd w:val="clear" w:color="auto" w:fill="auto"/>
            <w:vAlign w:val="center"/>
          </w:tcPr>
          <w:p>
            <w:pPr>
              <w:pStyle w:val="16"/>
              <w:rPr>
                <w:color w:val="auto"/>
                <w:highlight w:val="none"/>
              </w:rPr>
            </w:pPr>
            <w:r>
              <w:rPr>
                <w:color w:val="auto"/>
                <w:highlight w:val="none"/>
              </w:rPr>
              <w:t>扰动土地整治率(%)</w:t>
            </w:r>
          </w:p>
        </w:tc>
        <w:tc>
          <w:tcPr>
            <w:tcW w:w="437" w:type="pct"/>
            <w:shd w:val="clear" w:color="auto" w:fill="auto"/>
            <w:vAlign w:val="center"/>
          </w:tcPr>
          <w:p>
            <w:pPr>
              <w:pStyle w:val="16"/>
              <w:rPr>
                <w:color w:val="auto"/>
                <w:highlight w:val="none"/>
              </w:rPr>
            </w:pPr>
            <w:r>
              <w:rPr>
                <w:color w:val="auto"/>
                <w:highlight w:val="none"/>
              </w:rPr>
              <w:t>*</w:t>
            </w:r>
          </w:p>
        </w:tc>
        <w:tc>
          <w:tcPr>
            <w:tcW w:w="586" w:type="pct"/>
            <w:shd w:val="clear" w:color="auto" w:fill="auto"/>
            <w:noWrap/>
            <w:vAlign w:val="center"/>
          </w:tcPr>
          <w:p>
            <w:pPr>
              <w:pStyle w:val="16"/>
              <w:rPr>
                <w:color w:val="auto"/>
                <w:highlight w:val="none"/>
              </w:rPr>
            </w:pPr>
            <w:r>
              <w:rPr>
                <w:color w:val="auto"/>
                <w:highlight w:val="none"/>
              </w:rPr>
              <w:t>95</w:t>
            </w:r>
          </w:p>
        </w:tc>
        <w:tc>
          <w:tcPr>
            <w:tcW w:w="587" w:type="pct"/>
            <w:shd w:val="clear" w:color="auto" w:fill="auto"/>
            <w:vAlign w:val="center"/>
          </w:tcPr>
          <w:p>
            <w:pPr>
              <w:pStyle w:val="16"/>
              <w:rPr>
                <w:color w:val="auto"/>
                <w:highlight w:val="none"/>
              </w:rPr>
            </w:pPr>
          </w:p>
        </w:tc>
        <w:tc>
          <w:tcPr>
            <w:tcW w:w="766" w:type="pct"/>
            <w:shd w:val="clear" w:color="auto" w:fill="auto"/>
            <w:vAlign w:val="center"/>
          </w:tcPr>
          <w:p>
            <w:pPr>
              <w:pStyle w:val="16"/>
              <w:rPr>
                <w:color w:val="auto"/>
                <w:highlight w:val="none"/>
              </w:rPr>
            </w:pPr>
          </w:p>
        </w:tc>
        <w:tc>
          <w:tcPr>
            <w:tcW w:w="572" w:type="pct"/>
            <w:shd w:val="clear" w:color="auto" w:fill="auto"/>
            <w:vAlign w:val="center"/>
          </w:tcPr>
          <w:p>
            <w:pPr>
              <w:pStyle w:val="16"/>
              <w:rPr>
                <w:color w:val="auto"/>
                <w:highlight w:val="none"/>
              </w:rPr>
            </w:pPr>
          </w:p>
        </w:tc>
        <w:tc>
          <w:tcPr>
            <w:tcW w:w="418" w:type="pct"/>
            <w:shd w:val="clear" w:color="auto" w:fill="auto"/>
            <w:vAlign w:val="center"/>
          </w:tcPr>
          <w:p>
            <w:pPr>
              <w:pStyle w:val="16"/>
              <w:rPr>
                <w:color w:val="auto"/>
                <w:highlight w:val="none"/>
              </w:rPr>
            </w:pPr>
            <w:r>
              <w:rPr>
                <w:color w:val="auto"/>
                <w:highlight w:val="none"/>
              </w:rPr>
              <w:t>*</w:t>
            </w:r>
          </w:p>
        </w:tc>
        <w:tc>
          <w:tcPr>
            <w:tcW w:w="584" w:type="pct"/>
            <w:shd w:val="clear" w:color="auto" w:fill="auto"/>
            <w:vAlign w:val="center"/>
          </w:tcPr>
          <w:p>
            <w:pPr>
              <w:pStyle w:val="16"/>
              <w:rPr>
                <w:color w:val="auto"/>
                <w:highlight w:val="none"/>
              </w:rPr>
            </w:pPr>
            <w:r>
              <w:rPr>
                <w:color w:val="auto"/>
                <w:highlight w:val="none"/>
              </w:rPr>
              <w:t>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51" w:type="pct"/>
            <w:shd w:val="clear" w:color="auto" w:fill="auto"/>
            <w:vAlign w:val="center"/>
          </w:tcPr>
          <w:p>
            <w:pPr>
              <w:pStyle w:val="16"/>
              <w:rPr>
                <w:color w:val="auto"/>
                <w:highlight w:val="none"/>
              </w:rPr>
            </w:pPr>
            <w:r>
              <w:rPr>
                <w:color w:val="auto"/>
                <w:highlight w:val="none"/>
              </w:rPr>
              <w:t>水土流失总治理度(%)</w:t>
            </w:r>
          </w:p>
        </w:tc>
        <w:tc>
          <w:tcPr>
            <w:tcW w:w="437" w:type="pct"/>
            <w:shd w:val="clear" w:color="auto" w:fill="auto"/>
            <w:vAlign w:val="center"/>
          </w:tcPr>
          <w:p>
            <w:pPr>
              <w:pStyle w:val="16"/>
              <w:rPr>
                <w:color w:val="auto"/>
                <w:highlight w:val="none"/>
              </w:rPr>
            </w:pPr>
            <w:r>
              <w:rPr>
                <w:color w:val="auto"/>
                <w:highlight w:val="none"/>
              </w:rPr>
              <w:t>*</w:t>
            </w:r>
          </w:p>
        </w:tc>
        <w:tc>
          <w:tcPr>
            <w:tcW w:w="586" w:type="pct"/>
            <w:shd w:val="clear" w:color="auto" w:fill="auto"/>
            <w:noWrap/>
            <w:vAlign w:val="center"/>
          </w:tcPr>
          <w:p>
            <w:pPr>
              <w:pStyle w:val="16"/>
              <w:rPr>
                <w:color w:val="auto"/>
                <w:highlight w:val="none"/>
              </w:rPr>
            </w:pPr>
            <w:r>
              <w:rPr>
                <w:color w:val="auto"/>
                <w:highlight w:val="none"/>
              </w:rPr>
              <w:t>95</w:t>
            </w:r>
          </w:p>
        </w:tc>
        <w:tc>
          <w:tcPr>
            <w:tcW w:w="587" w:type="pct"/>
            <w:shd w:val="clear" w:color="auto" w:fill="auto"/>
            <w:vAlign w:val="center"/>
          </w:tcPr>
          <w:p>
            <w:pPr>
              <w:pStyle w:val="16"/>
              <w:rPr>
                <w:color w:val="auto"/>
                <w:highlight w:val="none"/>
              </w:rPr>
            </w:pPr>
            <w:r>
              <w:rPr>
                <w:rFonts w:hint="eastAsia"/>
                <w:color w:val="auto"/>
                <w:highlight w:val="none"/>
              </w:rPr>
              <w:t>+2</w:t>
            </w:r>
          </w:p>
        </w:tc>
        <w:tc>
          <w:tcPr>
            <w:tcW w:w="766" w:type="pct"/>
            <w:shd w:val="clear" w:color="auto" w:fill="auto"/>
            <w:vAlign w:val="center"/>
          </w:tcPr>
          <w:p>
            <w:pPr>
              <w:pStyle w:val="16"/>
              <w:rPr>
                <w:color w:val="auto"/>
                <w:highlight w:val="none"/>
              </w:rPr>
            </w:pPr>
          </w:p>
        </w:tc>
        <w:tc>
          <w:tcPr>
            <w:tcW w:w="572" w:type="pct"/>
            <w:shd w:val="clear" w:color="auto" w:fill="auto"/>
            <w:vAlign w:val="center"/>
          </w:tcPr>
          <w:p>
            <w:pPr>
              <w:pStyle w:val="16"/>
              <w:rPr>
                <w:color w:val="auto"/>
                <w:highlight w:val="none"/>
              </w:rPr>
            </w:pPr>
          </w:p>
        </w:tc>
        <w:tc>
          <w:tcPr>
            <w:tcW w:w="418" w:type="pct"/>
            <w:shd w:val="clear" w:color="auto" w:fill="auto"/>
            <w:vAlign w:val="center"/>
          </w:tcPr>
          <w:p>
            <w:pPr>
              <w:pStyle w:val="16"/>
              <w:rPr>
                <w:color w:val="auto"/>
                <w:highlight w:val="none"/>
              </w:rPr>
            </w:pPr>
            <w:r>
              <w:rPr>
                <w:color w:val="auto"/>
                <w:highlight w:val="none"/>
              </w:rPr>
              <w:t>*</w:t>
            </w:r>
          </w:p>
        </w:tc>
        <w:tc>
          <w:tcPr>
            <w:tcW w:w="584" w:type="pct"/>
            <w:shd w:val="clear" w:color="auto" w:fill="auto"/>
            <w:vAlign w:val="center"/>
          </w:tcPr>
          <w:p>
            <w:pPr>
              <w:pStyle w:val="16"/>
              <w:rPr>
                <w:color w:val="auto"/>
                <w:highlight w:val="none"/>
              </w:rPr>
            </w:pPr>
            <w:r>
              <w:rPr>
                <w:rFonts w:hint="eastAsia"/>
                <w:color w:val="auto"/>
                <w:highlight w:val="none"/>
              </w:rPr>
              <w:t>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51" w:type="pct"/>
            <w:shd w:val="clear" w:color="auto" w:fill="auto"/>
            <w:vAlign w:val="center"/>
          </w:tcPr>
          <w:p>
            <w:pPr>
              <w:pStyle w:val="16"/>
              <w:rPr>
                <w:color w:val="auto"/>
                <w:highlight w:val="none"/>
              </w:rPr>
            </w:pPr>
            <w:r>
              <w:rPr>
                <w:color w:val="auto"/>
                <w:highlight w:val="none"/>
              </w:rPr>
              <w:t>土壤流失控制比</w:t>
            </w:r>
          </w:p>
        </w:tc>
        <w:tc>
          <w:tcPr>
            <w:tcW w:w="437" w:type="pct"/>
            <w:shd w:val="clear" w:color="auto" w:fill="auto"/>
            <w:vAlign w:val="center"/>
          </w:tcPr>
          <w:p>
            <w:pPr>
              <w:pStyle w:val="16"/>
              <w:rPr>
                <w:color w:val="auto"/>
                <w:highlight w:val="none"/>
              </w:rPr>
            </w:pPr>
            <w:r>
              <w:rPr>
                <w:color w:val="auto"/>
                <w:highlight w:val="none"/>
              </w:rPr>
              <w:t>0.7</w:t>
            </w:r>
          </w:p>
        </w:tc>
        <w:tc>
          <w:tcPr>
            <w:tcW w:w="586" w:type="pct"/>
            <w:shd w:val="clear" w:color="auto" w:fill="auto"/>
            <w:noWrap/>
            <w:vAlign w:val="center"/>
          </w:tcPr>
          <w:p>
            <w:pPr>
              <w:pStyle w:val="16"/>
              <w:rPr>
                <w:color w:val="auto"/>
                <w:highlight w:val="none"/>
              </w:rPr>
            </w:pPr>
            <w:r>
              <w:rPr>
                <w:color w:val="auto"/>
                <w:highlight w:val="none"/>
              </w:rPr>
              <w:t>0.8</w:t>
            </w:r>
          </w:p>
        </w:tc>
        <w:tc>
          <w:tcPr>
            <w:tcW w:w="587" w:type="pct"/>
            <w:shd w:val="clear" w:color="auto" w:fill="auto"/>
            <w:vAlign w:val="center"/>
          </w:tcPr>
          <w:p>
            <w:pPr>
              <w:pStyle w:val="16"/>
              <w:rPr>
                <w:color w:val="auto"/>
                <w:highlight w:val="none"/>
              </w:rPr>
            </w:pPr>
          </w:p>
        </w:tc>
        <w:tc>
          <w:tcPr>
            <w:tcW w:w="766" w:type="pct"/>
            <w:shd w:val="clear" w:color="auto" w:fill="auto"/>
            <w:vAlign w:val="center"/>
          </w:tcPr>
          <w:p>
            <w:pPr>
              <w:pStyle w:val="16"/>
              <w:rPr>
                <w:color w:val="auto"/>
                <w:highlight w:val="none"/>
              </w:rPr>
            </w:pPr>
            <w:r>
              <w:rPr>
                <w:rFonts w:hint="eastAsia"/>
                <w:color w:val="auto"/>
                <w:highlight w:val="none"/>
              </w:rPr>
              <w:t>+</w:t>
            </w:r>
            <w:r>
              <w:rPr>
                <w:color w:val="auto"/>
                <w:highlight w:val="none"/>
              </w:rPr>
              <w:t>0.</w:t>
            </w:r>
            <w:r>
              <w:rPr>
                <w:rFonts w:hint="eastAsia"/>
                <w:color w:val="auto"/>
                <w:highlight w:val="none"/>
              </w:rPr>
              <w:t>2</w:t>
            </w:r>
          </w:p>
        </w:tc>
        <w:tc>
          <w:tcPr>
            <w:tcW w:w="572" w:type="pct"/>
            <w:shd w:val="clear" w:color="auto" w:fill="auto"/>
            <w:vAlign w:val="center"/>
          </w:tcPr>
          <w:p>
            <w:pPr>
              <w:pStyle w:val="16"/>
              <w:rPr>
                <w:color w:val="auto"/>
                <w:highlight w:val="none"/>
              </w:rPr>
            </w:pPr>
          </w:p>
        </w:tc>
        <w:tc>
          <w:tcPr>
            <w:tcW w:w="418" w:type="pct"/>
            <w:shd w:val="clear" w:color="auto" w:fill="auto"/>
            <w:vAlign w:val="center"/>
          </w:tcPr>
          <w:p>
            <w:pPr>
              <w:pStyle w:val="16"/>
              <w:rPr>
                <w:color w:val="auto"/>
                <w:highlight w:val="none"/>
              </w:rPr>
            </w:pPr>
            <w:r>
              <w:rPr>
                <w:rFonts w:hint="eastAsia"/>
                <w:color w:val="auto"/>
                <w:highlight w:val="none"/>
              </w:rPr>
              <w:t>0.7</w:t>
            </w:r>
          </w:p>
        </w:tc>
        <w:tc>
          <w:tcPr>
            <w:tcW w:w="584" w:type="pct"/>
            <w:shd w:val="clear" w:color="auto" w:fill="auto"/>
            <w:vAlign w:val="center"/>
          </w:tcPr>
          <w:p>
            <w:pPr>
              <w:pStyle w:val="16"/>
              <w:rPr>
                <w:color w:val="auto"/>
                <w:highlight w:val="none"/>
              </w:rPr>
            </w:pPr>
            <w:r>
              <w:rPr>
                <w:rFonts w:hint="eastAsia"/>
                <w:color w:val="auto"/>
                <w:highlight w:val="none"/>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51" w:type="pct"/>
            <w:shd w:val="clear" w:color="auto" w:fill="auto"/>
            <w:vAlign w:val="center"/>
          </w:tcPr>
          <w:p>
            <w:pPr>
              <w:pStyle w:val="16"/>
              <w:rPr>
                <w:color w:val="auto"/>
                <w:highlight w:val="none"/>
              </w:rPr>
            </w:pPr>
            <w:r>
              <w:rPr>
                <w:color w:val="auto"/>
                <w:highlight w:val="none"/>
              </w:rPr>
              <w:t>拦渣率(%)</w:t>
            </w:r>
          </w:p>
        </w:tc>
        <w:tc>
          <w:tcPr>
            <w:tcW w:w="437" w:type="pct"/>
            <w:shd w:val="clear" w:color="auto" w:fill="auto"/>
            <w:vAlign w:val="center"/>
          </w:tcPr>
          <w:p>
            <w:pPr>
              <w:pStyle w:val="16"/>
              <w:rPr>
                <w:color w:val="auto"/>
                <w:highlight w:val="none"/>
              </w:rPr>
            </w:pPr>
            <w:r>
              <w:rPr>
                <w:color w:val="auto"/>
                <w:highlight w:val="none"/>
              </w:rPr>
              <w:t>95</w:t>
            </w:r>
          </w:p>
        </w:tc>
        <w:tc>
          <w:tcPr>
            <w:tcW w:w="586" w:type="pct"/>
            <w:shd w:val="clear" w:color="auto" w:fill="auto"/>
            <w:noWrap/>
            <w:vAlign w:val="center"/>
          </w:tcPr>
          <w:p>
            <w:pPr>
              <w:pStyle w:val="16"/>
              <w:rPr>
                <w:color w:val="auto"/>
                <w:highlight w:val="none"/>
              </w:rPr>
            </w:pPr>
            <w:r>
              <w:rPr>
                <w:color w:val="auto"/>
                <w:highlight w:val="none"/>
              </w:rPr>
              <w:t>95</w:t>
            </w:r>
          </w:p>
        </w:tc>
        <w:tc>
          <w:tcPr>
            <w:tcW w:w="587" w:type="pct"/>
            <w:shd w:val="clear" w:color="auto" w:fill="auto"/>
            <w:vAlign w:val="center"/>
          </w:tcPr>
          <w:p>
            <w:pPr>
              <w:pStyle w:val="16"/>
              <w:rPr>
                <w:color w:val="auto"/>
                <w:highlight w:val="none"/>
              </w:rPr>
            </w:pPr>
          </w:p>
        </w:tc>
        <w:tc>
          <w:tcPr>
            <w:tcW w:w="766" w:type="pct"/>
            <w:shd w:val="clear" w:color="auto" w:fill="auto"/>
            <w:vAlign w:val="center"/>
          </w:tcPr>
          <w:p>
            <w:pPr>
              <w:pStyle w:val="16"/>
              <w:rPr>
                <w:color w:val="auto"/>
                <w:highlight w:val="none"/>
              </w:rPr>
            </w:pPr>
          </w:p>
        </w:tc>
        <w:tc>
          <w:tcPr>
            <w:tcW w:w="572" w:type="pct"/>
            <w:shd w:val="clear" w:color="auto" w:fill="auto"/>
            <w:vAlign w:val="center"/>
          </w:tcPr>
          <w:p>
            <w:pPr>
              <w:pStyle w:val="16"/>
              <w:rPr>
                <w:color w:val="auto"/>
                <w:highlight w:val="none"/>
              </w:rPr>
            </w:pPr>
          </w:p>
        </w:tc>
        <w:tc>
          <w:tcPr>
            <w:tcW w:w="418" w:type="pct"/>
            <w:shd w:val="clear" w:color="auto" w:fill="auto"/>
            <w:vAlign w:val="center"/>
          </w:tcPr>
          <w:p>
            <w:pPr>
              <w:pStyle w:val="16"/>
              <w:rPr>
                <w:color w:val="auto"/>
                <w:highlight w:val="none"/>
              </w:rPr>
            </w:pPr>
            <w:r>
              <w:rPr>
                <w:rFonts w:hint="eastAsia"/>
                <w:color w:val="auto"/>
                <w:highlight w:val="none"/>
              </w:rPr>
              <w:t>95</w:t>
            </w:r>
          </w:p>
        </w:tc>
        <w:tc>
          <w:tcPr>
            <w:tcW w:w="584" w:type="pct"/>
            <w:shd w:val="clear" w:color="auto" w:fill="auto"/>
            <w:vAlign w:val="center"/>
          </w:tcPr>
          <w:p>
            <w:pPr>
              <w:pStyle w:val="16"/>
              <w:rPr>
                <w:color w:val="auto"/>
                <w:highlight w:val="none"/>
              </w:rPr>
            </w:pPr>
            <w:r>
              <w:rPr>
                <w:color w:val="auto"/>
                <w:highlight w:val="none"/>
              </w:rPr>
              <w:t>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51" w:type="pct"/>
            <w:shd w:val="clear" w:color="auto" w:fill="auto"/>
            <w:vAlign w:val="center"/>
          </w:tcPr>
          <w:p>
            <w:pPr>
              <w:pStyle w:val="16"/>
              <w:rPr>
                <w:color w:val="auto"/>
                <w:highlight w:val="none"/>
              </w:rPr>
            </w:pPr>
            <w:r>
              <w:rPr>
                <w:color w:val="auto"/>
                <w:highlight w:val="none"/>
              </w:rPr>
              <w:t>林草植被恢复率(%)</w:t>
            </w:r>
          </w:p>
        </w:tc>
        <w:tc>
          <w:tcPr>
            <w:tcW w:w="437" w:type="pct"/>
            <w:shd w:val="clear" w:color="auto" w:fill="auto"/>
            <w:vAlign w:val="center"/>
          </w:tcPr>
          <w:p>
            <w:pPr>
              <w:pStyle w:val="16"/>
              <w:rPr>
                <w:color w:val="auto"/>
                <w:highlight w:val="none"/>
              </w:rPr>
            </w:pPr>
            <w:r>
              <w:rPr>
                <w:color w:val="auto"/>
                <w:highlight w:val="none"/>
              </w:rPr>
              <w:t>*</w:t>
            </w:r>
          </w:p>
        </w:tc>
        <w:tc>
          <w:tcPr>
            <w:tcW w:w="586" w:type="pct"/>
            <w:shd w:val="clear" w:color="auto" w:fill="auto"/>
            <w:noWrap/>
            <w:vAlign w:val="center"/>
          </w:tcPr>
          <w:p>
            <w:pPr>
              <w:pStyle w:val="16"/>
              <w:rPr>
                <w:color w:val="auto"/>
                <w:highlight w:val="none"/>
              </w:rPr>
            </w:pPr>
            <w:r>
              <w:rPr>
                <w:color w:val="auto"/>
                <w:highlight w:val="none"/>
              </w:rPr>
              <w:t>97</w:t>
            </w:r>
          </w:p>
        </w:tc>
        <w:tc>
          <w:tcPr>
            <w:tcW w:w="587" w:type="pct"/>
            <w:shd w:val="clear" w:color="auto" w:fill="auto"/>
            <w:vAlign w:val="center"/>
          </w:tcPr>
          <w:p>
            <w:pPr>
              <w:pStyle w:val="16"/>
              <w:rPr>
                <w:color w:val="auto"/>
                <w:highlight w:val="none"/>
              </w:rPr>
            </w:pPr>
            <w:r>
              <w:rPr>
                <w:rFonts w:hint="eastAsia"/>
                <w:color w:val="auto"/>
                <w:highlight w:val="none"/>
              </w:rPr>
              <w:t>+2</w:t>
            </w:r>
          </w:p>
        </w:tc>
        <w:tc>
          <w:tcPr>
            <w:tcW w:w="766" w:type="pct"/>
            <w:shd w:val="clear" w:color="auto" w:fill="auto"/>
            <w:vAlign w:val="center"/>
          </w:tcPr>
          <w:p>
            <w:pPr>
              <w:pStyle w:val="16"/>
              <w:rPr>
                <w:color w:val="auto"/>
                <w:highlight w:val="none"/>
              </w:rPr>
            </w:pPr>
          </w:p>
        </w:tc>
        <w:tc>
          <w:tcPr>
            <w:tcW w:w="572" w:type="pct"/>
            <w:shd w:val="clear" w:color="auto" w:fill="auto"/>
            <w:vAlign w:val="center"/>
          </w:tcPr>
          <w:p>
            <w:pPr>
              <w:pStyle w:val="16"/>
              <w:rPr>
                <w:color w:val="auto"/>
                <w:highlight w:val="none"/>
              </w:rPr>
            </w:pPr>
          </w:p>
        </w:tc>
        <w:tc>
          <w:tcPr>
            <w:tcW w:w="418" w:type="pct"/>
            <w:shd w:val="clear" w:color="auto" w:fill="auto"/>
            <w:vAlign w:val="center"/>
          </w:tcPr>
          <w:p>
            <w:pPr>
              <w:pStyle w:val="16"/>
              <w:rPr>
                <w:color w:val="auto"/>
                <w:highlight w:val="none"/>
              </w:rPr>
            </w:pPr>
            <w:r>
              <w:rPr>
                <w:color w:val="auto"/>
                <w:highlight w:val="none"/>
              </w:rPr>
              <w:t>*</w:t>
            </w:r>
          </w:p>
        </w:tc>
        <w:tc>
          <w:tcPr>
            <w:tcW w:w="584" w:type="pct"/>
            <w:shd w:val="clear" w:color="auto" w:fill="auto"/>
            <w:vAlign w:val="center"/>
          </w:tcPr>
          <w:p>
            <w:pPr>
              <w:pStyle w:val="16"/>
              <w:rPr>
                <w:color w:val="auto"/>
                <w:highlight w:val="none"/>
              </w:rPr>
            </w:pPr>
            <w:r>
              <w:rPr>
                <w:rFonts w:hint="eastAsia"/>
                <w:color w:val="auto"/>
                <w:highlight w:val="none"/>
              </w:rPr>
              <w:t>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51" w:type="pct"/>
            <w:shd w:val="clear" w:color="auto" w:fill="auto"/>
            <w:vAlign w:val="center"/>
          </w:tcPr>
          <w:p>
            <w:pPr>
              <w:pStyle w:val="16"/>
              <w:rPr>
                <w:color w:val="auto"/>
                <w:highlight w:val="none"/>
              </w:rPr>
            </w:pPr>
            <w:r>
              <w:rPr>
                <w:color w:val="auto"/>
                <w:highlight w:val="none"/>
              </w:rPr>
              <w:t>林草覆盖率(%)</w:t>
            </w:r>
          </w:p>
        </w:tc>
        <w:tc>
          <w:tcPr>
            <w:tcW w:w="437" w:type="pct"/>
            <w:shd w:val="clear" w:color="auto" w:fill="auto"/>
            <w:vAlign w:val="center"/>
          </w:tcPr>
          <w:p>
            <w:pPr>
              <w:pStyle w:val="16"/>
              <w:rPr>
                <w:color w:val="auto"/>
                <w:highlight w:val="none"/>
              </w:rPr>
            </w:pPr>
            <w:r>
              <w:rPr>
                <w:color w:val="auto"/>
                <w:highlight w:val="none"/>
              </w:rPr>
              <w:t>*</w:t>
            </w:r>
          </w:p>
        </w:tc>
        <w:tc>
          <w:tcPr>
            <w:tcW w:w="586" w:type="pct"/>
            <w:shd w:val="clear" w:color="auto" w:fill="auto"/>
            <w:noWrap/>
            <w:vAlign w:val="center"/>
          </w:tcPr>
          <w:p>
            <w:pPr>
              <w:pStyle w:val="16"/>
              <w:rPr>
                <w:color w:val="auto"/>
                <w:highlight w:val="none"/>
              </w:rPr>
            </w:pPr>
            <w:r>
              <w:rPr>
                <w:color w:val="auto"/>
                <w:highlight w:val="none"/>
              </w:rPr>
              <w:t>25</w:t>
            </w:r>
          </w:p>
        </w:tc>
        <w:tc>
          <w:tcPr>
            <w:tcW w:w="587" w:type="pct"/>
            <w:shd w:val="clear" w:color="auto" w:fill="auto"/>
            <w:vAlign w:val="center"/>
          </w:tcPr>
          <w:p>
            <w:pPr>
              <w:pStyle w:val="16"/>
              <w:rPr>
                <w:rFonts w:hint="eastAsia" w:eastAsia="仿宋"/>
                <w:color w:val="auto"/>
                <w:highlight w:val="none"/>
                <w:lang w:eastAsia="zh-CN"/>
              </w:rPr>
            </w:pPr>
            <w:r>
              <w:rPr>
                <w:rFonts w:hint="eastAsia"/>
                <w:color w:val="auto"/>
                <w:highlight w:val="none"/>
                <w:lang w:val="en-US" w:eastAsia="zh-CN"/>
              </w:rPr>
              <w:t>/</w:t>
            </w:r>
          </w:p>
        </w:tc>
        <w:tc>
          <w:tcPr>
            <w:tcW w:w="766" w:type="pct"/>
            <w:shd w:val="clear" w:color="auto" w:fill="auto"/>
            <w:vAlign w:val="center"/>
          </w:tcPr>
          <w:p>
            <w:pPr>
              <w:pStyle w:val="16"/>
              <w:rPr>
                <w:color w:val="auto"/>
                <w:highlight w:val="none"/>
              </w:rPr>
            </w:pPr>
          </w:p>
        </w:tc>
        <w:tc>
          <w:tcPr>
            <w:tcW w:w="572" w:type="pct"/>
            <w:shd w:val="clear" w:color="auto" w:fill="auto"/>
            <w:vAlign w:val="center"/>
          </w:tcPr>
          <w:p>
            <w:pPr>
              <w:pStyle w:val="16"/>
              <w:rPr>
                <w:color w:val="auto"/>
                <w:highlight w:val="none"/>
              </w:rPr>
            </w:pPr>
          </w:p>
        </w:tc>
        <w:tc>
          <w:tcPr>
            <w:tcW w:w="418" w:type="pct"/>
            <w:shd w:val="clear" w:color="auto" w:fill="auto"/>
            <w:vAlign w:val="center"/>
          </w:tcPr>
          <w:p>
            <w:pPr>
              <w:pStyle w:val="16"/>
              <w:rPr>
                <w:color w:val="auto"/>
                <w:highlight w:val="none"/>
              </w:rPr>
            </w:pPr>
            <w:r>
              <w:rPr>
                <w:color w:val="auto"/>
                <w:highlight w:val="none"/>
              </w:rPr>
              <w:t>*</w:t>
            </w:r>
          </w:p>
        </w:tc>
        <w:tc>
          <w:tcPr>
            <w:tcW w:w="584" w:type="pct"/>
            <w:shd w:val="clear" w:color="auto" w:fill="auto"/>
            <w:vAlign w:val="center"/>
          </w:tcPr>
          <w:p>
            <w:pPr>
              <w:pStyle w:val="16"/>
              <w:rPr>
                <w:rFonts w:hint="eastAsia" w:eastAsia="仿宋"/>
                <w:color w:val="auto"/>
                <w:highlight w:val="none"/>
                <w:lang w:val="en-US" w:eastAsia="zh-CN"/>
              </w:rPr>
            </w:pPr>
            <w:r>
              <w:rPr>
                <w:rFonts w:hint="eastAsia"/>
                <w:color w:val="auto"/>
                <w:highlight w:val="none"/>
              </w:rPr>
              <w:t>7</w:t>
            </w:r>
            <w:r>
              <w:rPr>
                <w:rFonts w:hint="eastAsia"/>
                <w:color w:val="auto"/>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shd w:val="clear" w:color="auto" w:fill="auto"/>
            <w:vAlign w:val="center"/>
          </w:tcPr>
          <w:p>
            <w:pPr>
              <w:pStyle w:val="16"/>
              <w:rPr>
                <w:color w:val="auto"/>
                <w:highlight w:val="none"/>
              </w:rPr>
            </w:pPr>
            <w:r>
              <w:rPr>
                <w:color w:val="auto"/>
                <w:highlight w:val="none"/>
              </w:rPr>
              <w:t>注：1.表中“*”号表示的指标值，根据批准的水土保持方案实施的过程中监测获得，该值为动态值，无强行指标，但该值的监测资料要作为竣工验收的依据之一；</w:t>
            </w:r>
          </w:p>
        </w:tc>
      </w:tr>
    </w:tbl>
    <w:p>
      <w:pPr>
        <w:pStyle w:val="4"/>
        <w:rPr>
          <w:rFonts w:cs="Times New Roman"/>
          <w:color w:val="auto"/>
          <w:highlight w:val="none"/>
        </w:rPr>
      </w:pPr>
      <w:r>
        <w:rPr>
          <w:rFonts w:hint="eastAsia" w:cs="Times New Roman"/>
          <w:color w:val="auto"/>
          <w:highlight w:val="none"/>
        </w:rPr>
        <w:t>扰动土地整治率</w:t>
      </w:r>
    </w:p>
    <w:p>
      <w:pPr>
        <w:ind w:firstLine="480"/>
        <w:rPr>
          <w:color w:val="auto"/>
          <w:highlight w:val="none"/>
        </w:rPr>
      </w:pPr>
      <w:r>
        <w:rPr>
          <w:rFonts w:hint="eastAsia"/>
          <w:color w:val="auto"/>
          <w:highlight w:val="none"/>
        </w:rPr>
        <w:t>根据水土保持监测结果并结合项目建设前后遥感影像分析，工程实际造成扰动面积</w:t>
      </w:r>
      <w:r>
        <w:rPr>
          <w:rFonts w:hint="eastAsia"/>
          <w:color w:val="auto"/>
          <w:highlight w:val="none"/>
          <w:lang w:eastAsia="zh-CN"/>
        </w:rPr>
        <w:t>4.45</w:t>
      </w:r>
      <w:r>
        <w:rPr>
          <w:rFonts w:hint="eastAsia"/>
          <w:color w:val="auto"/>
          <w:highlight w:val="none"/>
        </w:rPr>
        <w:t>hm</w:t>
      </w:r>
      <w:r>
        <w:rPr>
          <w:rFonts w:hint="eastAsia"/>
          <w:color w:val="auto"/>
          <w:highlight w:val="none"/>
          <w:vertAlign w:val="superscript"/>
        </w:rPr>
        <w:t>2</w:t>
      </w:r>
      <w:r>
        <w:rPr>
          <w:rFonts w:hint="eastAsia"/>
          <w:color w:val="auto"/>
          <w:highlight w:val="none"/>
        </w:rPr>
        <w:t>。实际完成水土流失治理面积</w:t>
      </w:r>
      <w:r>
        <w:rPr>
          <w:rFonts w:hint="eastAsia"/>
          <w:color w:val="auto"/>
          <w:highlight w:val="none"/>
          <w:lang w:eastAsia="zh-CN"/>
        </w:rPr>
        <w:t>0.32</w:t>
      </w:r>
      <w:r>
        <w:rPr>
          <w:rFonts w:hint="eastAsia"/>
          <w:color w:val="auto"/>
          <w:highlight w:val="none"/>
        </w:rPr>
        <w:t>hm</w:t>
      </w:r>
      <w:r>
        <w:rPr>
          <w:rFonts w:hint="eastAsia"/>
          <w:color w:val="auto"/>
          <w:highlight w:val="none"/>
          <w:vertAlign w:val="superscript"/>
        </w:rPr>
        <w:t>2</w:t>
      </w:r>
      <w:r>
        <w:rPr>
          <w:rFonts w:hint="eastAsia"/>
          <w:color w:val="auto"/>
          <w:highlight w:val="none"/>
        </w:rPr>
        <w:t>，硬化及建筑占压面积</w:t>
      </w:r>
      <w:r>
        <w:rPr>
          <w:rFonts w:hint="eastAsia"/>
          <w:color w:val="auto"/>
          <w:highlight w:val="none"/>
          <w:lang w:eastAsia="zh-CN"/>
        </w:rPr>
        <w:t>4.13</w:t>
      </w:r>
      <w:r>
        <w:rPr>
          <w:rFonts w:hint="eastAsia"/>
          <w:color w:val="auto"/>
          <w:highlight w:val="none"/>
        </w:rPr>
        <w:t>hm</w:t>
      </w:r>
      <w:r>
        <w:rPr>
          <w:rFonts w:hint="eastAsia"/>
          <w:color w:val="auto"/>
          <w:highlight w:val="none"/>
          <w:vertAlign w:val="superscript"/>
        </w:rPr>
        <w:t>2</w:t>
      </w:r>
      <w:r>
        <w:rPr>
          <w:rFonts w:hint="eastAsia"/>
          <w:color w:val="auto"/>
          <w:highlight w:val="none"/>
        </w:rPr>
        <w:t>，扰动土地整治率为</w:t>
      </w:r>
      <w:r>
        <w:rPr>
          <w:rFonts w:hint="eastAsia"/>
          <w:color w:val="auto"/>
          <w:highlight w:val="none"/>
          <w:lang w:eastAsia="zh-CN"/>
        </w:rPr>
        <w:t>99.97</w:t>
      </w:r>
      <w:r>
        <w:rPr>
          <w:rFonts w:hint="eastAsia"/>
          <w:color w:val="auto"/>
          <w:highlight w:val="none"/>
        </w:rPr>
        <w:t>%，达到批复的水土保持方案确定的防治目标值95%。</w:t>
      </w:r>
    </w:p>
    <w:p>
      <w:pPr>
        <w:pStyle w:val="15"/>
        <w:rPr>
          <w:rFonts w:cs="Times New Roman"/>
          <w:color w:val="auto"/>
          <w:highlight w:val="none"/>
        </w:rPr>
      </w:pPr>
      <w:r>
        <w:rPr>
          <w:rFonts w:cs="Times New Roman"/>
          <w:color w:val="auto"/>
          <w:highlight w:val="none"/>
        </w:rPr>
        <w:t>表5.2-</w:t>
      </w:r>
      <w:r>
        <w:rPr>
          <w:rFonts w:hint="eastAsia" w:cs="Times New Roman"/>
          <w:color w:val="auto"/>
          <w:highlight w:val="none"/>
        </w:rPr>
        <w:t>2</w:t>
      </w:r>
      <w:r>
        <w:rPr>
          <w:rFonts w:cs="Times New Roman"/>
          <w:color w:val="auto"/>
          <w:highlight w:val="none"/>
        </w:rPr>
        <w:t xml:space="preserve"> 各分区</w:t>
      </w:r>
      <w:r>
        <w:rPr>
          <w:rFonts w:hint="eastAsia" w:cs="Times New Roman"/>
          <w:color w:val="auto"/>
          <w:highlight w:val="none"/>
        </w:rPr>
        <w:t>扰动土地整治率一览表</w:t>
      </w:r>
      <w:r>
        <w:rPr>
          <w:rFonts w:cs="Times New Roman"/>
          <w:color w:val="auto"/>
          <w:highlight w:val="none"/>
        </w:rPr>
        <w:t>（单位：hm</w:t>
      </w:r>
      <w:r>
        <w:rPr>
          <w:rFonts w:cs="Times New Roman"/>
          <w:color w:val="auto"/>
          <w:highlight w:val="none"/>
          <w:vertAlign w:val="superscript"/>
        </w:rPr>
        <w:t>2</w:t>
      </w:r>
      <w:r>
        <w:rPr>
          <w:rFonts w:cs="Times New Roman"/>
          <w:color w:val="auto"/>
          <w:highlight w:val="none"/>
        </w:rPr>
        <w:t>）</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245"/>
        <w:gridCol w:w="887"/>
        <w:gridCol w:w="1229"/>
        <w:gridCol w:w="1225"/>
        <w:gridCol w:w="955"/>
        <w:gridCol w:w="955"/>
        <w:gridCol w:w="977"/>
        <w:gridCol w:w="105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12"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序号</w:t>
            </w:r>
          </w:p>
        </w:tc>
        <w:tc>
          <w:tcPr>
            <w:tcW w:w="684"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防治分区</w:t>
            </w:r>
          </w:p>
        </w:tc>
        <w:tc>
          <w:tcPr>
            <w:tcW w:w="487"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项目建设区</w:t>
            </w:r>
          </w:p>
        </w:tc>
        <w:tc>
          <w:tcPr>
            <w:tcW w:w="675"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扰动面积</w:t>
            </w:r>
          </w:p>
        </w:tc>
        <w:tc>
          <w:tcPr>
            <w:tcW w:w="673"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硬化及建筑物面积</w:t>
            </w:r>
          </w:p>
        </w:tc>
        <w:tc>
          <w:tcPr>
            <w:tcW w:w="1586" w:type="pct"/>
            <w:gridSpan w:val="3"/>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水土流失治理面积</w:t>
            </w:r>
          </w:p>
        </w:tc>
        <w:tc>
          <w:tcPr>
            <w:tcW w:w="579"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扰动土地整治率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12"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684"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487"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675"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673"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52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工程措施</w:t>
            </w:r>
          </w:p>
        </w:tc>
        <w:tc>
          <w:tcPr>
            <w:tcW w:w="52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植物措施</w:t>
            </w:r>
          </w:p>
        </w:tc>
        <w:tc>
          <w:tcPr>
            <w:tcW w:w="536"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小计</w:t>
            </w:r>
          </w:p>
        </w:tc>
        <w:tc>
          <w:tcPr>
            <w:tcW w:w="579"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312"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1</w:t>
            </w:r>
          </w:p>
        </w:tc>
        <w:tc>
          <w:tcPr>
            <w:tcW w:w="684"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487"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lang w:eastAsia="zh-CN"/>
              </w:rPr>
            </w:pPr>
            <w:r>
              <w:rPr>
                <w:rFonts w:hint="default"/>
                <w:color w:val="auto"/>
                <w:highlight w:val="none"/>
                <w:lang w:val="en-US" w:eastAsia="zh-CN"/>
              </w:rPr>
              <w:t>2.77</w:t>
            </w:r>
          </w:p>
        </w:tc>
        <w:tc>
          <w:tcPr>
            <w:tcW w:w="675"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2.77 </w:t>
            </w:r>
          </w:p>
        </w:tc>
        <w:tc>
          <w:tcPr>
            <w:tcW w:w="673"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2.76 </w:t>
            </w:r>
          </w:p>
        </w:tc>
        <w:tc>
          <w:tcPr>
            <w:tcW w:w="524"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0.01 </w:t>
            </w:r>
          </w:p>
        </w:tc>
        <w:tc>
          <w:tcPr>
            <w:tcW w:w="524"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p>
        </w:tc>
        <w:tc>
          <w:tcPr>
            <w:tcW w:w="53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0.01 </w:t>
            </w:r>
          </w:p>
        </w:tc>
        <w:tc>
          <w:tcPr>
            <w:tcW w:w="579"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100.00%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312"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2</w:t>
            </w:r>
          </w:p>
        </w:tc>
        <w:tc>
          <w:tcPr>
            <w:tcW w:w="684"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487"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1.47</w:t>
            </w:r>
          </w:p>
        </w:tc>
        <w:tc>
          <w:tcPr>
            <w:tcW w:w="675"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1.47 </w:t>
            </w:r>
          </w:p>
        </w:tc>
        <w:tc>
          <w:tcPr>
            <w:tcW w:w="673"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1.37 </w:t>
            </w:r>
          </w:p>
        </w:tc>
        <w:tc>
          <w:tcPr>
            <w:tcW w:w="524"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 </w:t>
            </w:r>
          </w:p>
        </w:tc>
        <w:tc>
          <w:tcPr>
            <w:tcW w:w="524"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0.10 </w:t>
            </w:r>
          </w:p>
        </w:tc>
        <w:tc>
          <w:tcPr>
            <w:tcW w:w="53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0.10 </w:t>
            </w:r>
          </w:p>
        </w:tc>
        <w:tc>
          <w:tcPr>
            <w:tcW w:w="579"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99.99%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312"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3</w:t>
            </w:r>
          </w:p>
        </w:tc>
        <w:tc>
          <w:tcPr>
            <w:tcW w:w="684"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487"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0.21</w:t>
            </w:r>
          </w:p>
        </w:tc>
        <w:tc>
          <w:tcPr>
            <w:tcW w:w="675"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0.21 </w:t>
            </w:r>
          </w:p>
        </w:tc>
        <w:tc>
          <w:tcPr>
            <w:tcW w:w="673"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 </w:t>
            </w:r>
          </w:p>
        </w:tc>
        <w:tc>
          <w:tcPr>
            <w:tcW w:w="524"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p>
        </w:tc>
        <w:tc>
          <w:tcPr>
            <w:tcW w:w="524"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0.21 </w:t>
            </w:r>
          </w:p>
        </w:tc>
        <w:tc>
          <w:tcPr>
            <w:tcW w:w="53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0.21 </w:t>
            </w:r>
          </w:p>
        </w:tc>
        <w:tc>
          <w:tcPr>
            <w:tcW w:w="579"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99.52%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9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小计</w:t>
            </w:r>
          </w:p>
        </w:tc>
        <w:tc>
          <w:tcPr>
            <w:tcW w:w="487"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lang w:eastAsia="zh-CN"/>
              </w:rPr>
            </w:pPr>
            <w:r>
              <w:rPr>
                <w:rFonts w:hint="default"/>
                <w:color w:val="auto"/>
                <w:highlight w:val="none"/>
                <w:lang w:val="en-US" w:eastAsia="zh-CN"/>
              </w:rPr>
              <w:t>4.45</w:t>
            </w:r>
          </w:p>
        </w:tc>
        <w:tc>
          <w:tcPr>
            <w:tcW w:w="675"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lang w:eastAsia="zh-CN"/>
              </w:rPr>
            </w:pPr>
            <w:r>
              <w:rPr>
                <w:rFonts w:hint="default"/>
                <w:color w:val="auto"/>
                <w:highlight w:val="none"/>
                <w:lang w:val="en-US" w:eastAsia="zh-CN"/>
              </w:rPr>
              <w:t>4.45</w:t>
            </w:r>
          </w:p>
        </w:tc>
        <w:tc>
          <w:tcPr>
            <w:tcW w:w="673"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4.13 </w:t>
            </w:r>
          </w:p>
        </w:tc>
        <w:tc>
          <w:tcPr>
            <w:tcW w:w="524"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0.01 </w:t>
            </w:r>
          </w:p>
        </w:tc>
        <w:tc>
          <w:tcPr>
            <w:tcW w:w="524"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0.31 </w:t>
            </w:r>
          </w:p>
        </w:tc>
        <w:tc>
          <w:tcPr>
            <w:tcW w:w="53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0.32 </w:t>
            </w:r>
          </w:p>
        </w:tc>
        <w:tc>
          <w:tcPr>
            <w:tcW w:w="579"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99.97%</w:t>
            </w:r>
          </w:p>
        </w:tc>
      </w:tr>
    </w:tbl>
    <w:p>
      <w:pPr>
        <w:pStyle w:val="4"/>
        <w:rPr>
          <w:rFonts w:cs="Times New Roman"/>
          <w:color w:val="auto"/>
          <w:highlight w:val="none"/>
        </w:rPr>
      </w:pPr>
      <w:r>
        <w:rPr>
          <w:rFonts w:hint="eastAsia" w:cs="Times New Roman"/>
          <w:color w:val="auto"/>
          <w:highlight w:val="none"/>
        </w:rPr>
        <w:t>水土流失总治理度</w:t>
      </w:r>
    </w:p>
    <w:p>
      <w:pPr>
        <w:ind w:firstLine="480"/>
        <w:rPr>
          <w:rFonts w:cs="Times New Roman"/>
          <w:color w:val="auto"/>
          <w:highlight w:val="none"/>
        </w:rPr>
      </w:pPr>
      <w:r>
        <w:rPr>
          <w:rFonts w:hint="eastAsia" w:cs="Times New Roman"/>
          <w:color w:val="auto"/>
          <w:highlight w:val="none"/>
        </w:rPr>
        <w:t>根据水土保持监测结果并结合项目建设前后遥感影像分析，工程实际造成水土流失面积</w:t>
      </w:r>
      <w:r>
        <w:rPr>
          <w:rFonts w:hint="eastAsia" w:cs="Times New Roman"/>
          <w:color w:val="auto"/>
          <w:highlight w:val="none"/>
          <w:lang w:eastAsia="zh-CN"/>
        </w:rPr>
        <w:t>0.32</w:t>
      </w:r>
      <w:r>
        <w:rPr>
          <w:rFonts w:hint="eastAsia" w:cs="Times New Roman"/>
          <w:color w:val="auto"/>
          <w:highlight w:val="none"/>
        </w:rPr>
        <w:t xml:space="preserve"> hm</w:t>
      </w:r>
      <w:r>
        <w:rPr>
          <w:rFonts w:hint="eastAsia" w:cs="Times New Roman"/>
          <w:color w:val="auto"/>
          <w:highlight w:val="none"/>
          <w:vertAlign w:val="superscript"/>
        </w:rPr>
        <w:t>2</w:t>
      </w:r>
      <w:r>
        <w:rPr>
          <w:rFonts w:hint="eastAsia" w:cs="Times New Roman"/>
          <w:color w:val="auto"/>
          <w:highlight w:val="none"/>
        </w:rPr>
        <w:t>。实际完成水土流失治理面积</w:t>
      </w:r>
      <w:r>
        <w:rPr>
          <w:rFonts w:hint="eastAsia" w:cs="Times New Roman"/>
          <w:color w:val="auto"/>
          <w:highlight w:val="none"/>
          <w:lang w:eastAsia="zh-CN"/>
        </w:rPr>
        <w:t>0.32</w:t>
      </w:r>
      <w:r>
        <w:rPr>
          <w:rFonts w:hint="eastAsia" w:cs="Times New Roman"/>
          <w:color w:val="auto"/>
          <w:highlight w:val="none"/>
        </w:rPr>
        <w:t xml:space="preserve"> hm</w:t>
      </w:r>
      <w:r>
        <w:rPr>
          <w:rFonts w:hint="eastAsia" w:cs="Times New Roman"/>
          <w:color w:val="auto"/>
          <w:highlight w:val="none"/>
          <w:vertAlign w:val="superscript"/>
        </w:rPr>
        <w:t>2</w:t>
      </w:r>
      <w:r>
        <w:rPr>
          <w:rFonts w:hint="eastAsia" w:cs="Times New Roman"/>
          <w:color w:val="auto"/>
          <w:highlight w:val="none"/>
        </w:rPr>
        <w:t>，水土流失总治理度为</w:t>
      </w:r>
      <w:r>
        <w:rPr>
          <w:rFonts w:hint="eastAsia" w:cs="Times New Roman"/>
          <w:color w:val="auto"/>
          <w:highlight w:val="none"/>
          <w:lang w:eastAsia="zh-CN"/>
        </w:rPr>
        <w:t>99.63</w:t>
      </w:r>
      <w:r>
        <w:rPr>
          <w:rFonts w:hint="eastAsia" w:cs="Times New Roman"/>
          <w:color w:val="auto"/>
          <w:highlight w:val="none"/>
        </w:rPr>
        <w:t>%，达到批复的水土保持方案确定的防治目标值97%</w:t>
      </w:r>
      <w:r>
        <w:rPr>
          <w:rFonts w:cs="Times New Roman"/>
          <w:color w:val="auto"/>
          <w:highlight w:val="none"/>
        </w:rPr>
        <w:t>。</w:t>
      </w:r>
    </w:p>
    <w:p>
      <w:pPr>
        <w:pStyle w:val="15"/>
        <w:rPr>
          <w:rFonts w:cs="Times New Roman"/>
          <w:color w:val="auto"/>
          <w:highlight w:val="none"/>
        </w:rPr>
      </w:pPr>
      <w:r>
        <w:rPr>
          <w:rFonts w:cs="Times New Roman"/>
          <w:color w:val="auto"/>
          <w:highlight w:val="none"/>
        </w:rPr>
        <w:t>表5.2-</w:t>
      </w:r>
      <w:r>
        <w:rPr>
          <w:rFonts w:hint="eastAsia" w:cs="Times New Roman"/>
          <w:color w:val="auto"/>
          <w:highlight w:val="none"/>
        </w:rPr>
        <w:t>3</w:t>
      </w:r>
      <w:r>
        <w:rPr>
          <w:rFonts w:cs="Times New Roman"/>
          <w:color w:val="auto"/>
          <w:highlight w:val="none"/>
        </w:rPr>
        <w:t xml:space="preserve"> 各分区水土流失</w:t>
      </w:r>
      <w:r>
        <w:rPr>
          <w:rFonts w:hint="eastAsia" w:cs="Times New Roman"/>
          <w:color w:val="auto"/>
          <w:highlight w:val="none"/>
        </w:rPr>
        <w:t>总</w:t>
      </w:r>
      <w:r>
        <w:rPr>
          <w:rFonts w:cs="Times New Roman"/>
          <w:color w:val="auto"/>
          <w:highlight w:val="none"/>
        </w:rPr>
        <w:t>治理度一览表（单位：hm</w:t>
      </w:r>
      <w:r>
        <w:rPr>
          <w:rFonts w:cs="Times New Roman"/>
          <w:color w:val="auto"/>
          <w:highlight w:val="none"/>
          <w:vertAlign w:val="superscript"/>
        </w:rPr>
        <w:t>2</w:t>
      </w:r>
      <w:r>
        <w:rPr>
          <w:rFonts w:cs="Times New Roman"/>
          <w:color w:val="auto"/>
          <w:highlight w:val="none"/>
        </w:rPr>
        <w:t>）</w:t>
      </w:r>
    </w:p>
    <w:tbl>
      <w:tblPr>
        <w:tblStyle w:val="11"/>
        <w:tblW w:w="4996"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29"/>
        <w:gridCol w:w="1038"/>
        <w:gridCol w:w="1136"/>
        <w:gridCol w:w="903"/>
        <w:gridCol w:w="903"/>
        <w:gridCol w:w="903"/>
        <w:gridCol w:w="903"/>
        <w:gridCol w:w="903"/>
        <w:gridCol w:w="974"/>
        <w:gridCol w:w="90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291"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序号</w:t>
            </w:r>
          </w:p>
        </w:tc>
        <w:tc>
          <w:tcPr>
            <w:tcW w:w="571"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防治分区</w:t>
            </w:r>
          </w:p>
        </w:tc>
        <w:tc>
          <w:tcPr>
            <w:tcW w:w="624"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项目建设区</w:t>
            </w:r>
          </w:p>
        </w:tc>
        <w:tc>
          <w:tcPr>
            <w:tcW w:w="496"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扰动面积</w:t>
            </w:r>
          </w:p>
        </w:tc>
        <w:tc>
          <w:tcPr>
            <w:tcW w:w="496"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硬化及建筑物面积</w:t>
            </w:r>
          </w:p>
        </w:tc>
        <w:tc>
          <w:tcPr>
            <w:tcW w:w="496"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水土流失面积</w:t>
            </w:r>
          </w:p>
        </w:tc>
        <w:tc>
          <w:tcPr>
            <w:tcW w:w="1527" w:type="pct"/>
            <w:gridSpan w:val="3"/>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水土流失治理面积</w:t>
            </w:r>
          </w:p>
        </w:tc>
        <w:tc>
          <w:tcPr>
            <w:tcW w:w="496" w:type="pct"/>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水土流失总治理度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291"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571"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624"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496"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496"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496"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496"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工程措施</w:t>
            </w:r>
          </w:p>
        </w:tc>
        <w:tc>
          <w:tcPr>
            <w:tcW w:w="496"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植物措施</w:t>
            </w:r>
          </w:p>
        </w:tc>
        <w:tc>
          <w:tcPr>
            <w:tcW w:w="53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小计</w:t>
            </w:r>
          </w:p>
        </w:tc>
        <w:tc>
          <w:tcPr>
            <w:tcW w:w="496" w:type="pct"/>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91"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1</w:t>
            </w:r>
          </w:p>
        </w:tc>
        <w:tc>
          <w:tcPr>
            <w:tcW w:w="571" w:type="pct"/>
            <w:tcBorders>
              <w:tl2br w:val="nil"/>
              <w:tr2bl w:val="nil"/>
            </w:tcBorders>
            <w:shd w:val="clear" w:color="auto" w:fill="auto"/>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1136"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2.77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2.77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2.76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0.01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0.01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 </w:t>
            </w:r>
          </w:p>
        </w:tc>
        <w:tc>
          <w:tcPr>
            <w:tcW w:w="97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0.01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100.00%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91"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2</w:t>
            </w:r>
          </w:p>
        </w:tc>
        <w:tc>
          <w:tcPr>
            <w:tcW w:w="571" w:type="pct"/>
            <w:tcBorders>
              <w:tl2br w:val="nil"/>
              <w:tr2bl w:val="nil"/>
            </w:tcBorders>
            <w:shd w:val="clear" w:color="auto" w:fill="auto"/>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1136"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1.47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1.47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1.37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0.10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0.10 </w:t>
            </w:r>
          </w:p>
        </w:tc>
        <w:tc>
          <w:tcPr>
            <w:tcW w:w="97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0.10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91"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3</w:t>
            </w:r>
          </w:p>
        </w:tc>
        <w:tc>
          <w:tcPr>
            <w:tcW w:w="571" w:type="pct"/>
            <w:tcBorders>
              <w:tl2br w:val="nil"/>
              <w:tr2bl w:val="nil"/>
            </w:tcBorders>
            <w:shd w:val="clear" w:color="auto" w:fill="auto"/>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1136"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0.21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0.21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0.21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0.21 </w:t>
            </w:r>
          </w:p>
        </w:tc>
        <w:tc>
          <w:tcPr>
            <w:tcW w:w="97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0.21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99.52%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62"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小计</w:t>
            </w:r>
          </w:p>
        </w:tc>
        <w:tc>
          <w:tcPr>
            <w:tcW w:w="1136"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4.45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4.45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4.13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0.32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0.01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0.31 </w:t>
            </w:r>
          </w:p>
        </w:tc>
        <w:tc>
          <w:tcPr>
            <w:tcW w:w="97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0.32 </w:t>
            </w:r>
          </w:p>
        </w:tc>
        <w:tc>
          <w:tcPr>
            <w:tcW w:w="903"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99.63%</w:t>
            </w:r>
          </w:p>
        </w:tc>
      </w:tr>
    </w:tbl>
    <w:p>
      <w:pPr>
        <w:pStyle w:val="4"/>
        <w:rPr>
          <w:rFonts w:cs="Times New Roman"/>
          <w:color w:val="auto"/>
          <w:highlight w:val="none"/>
        </w:rPr>
      </w:pPr>
      <w:r>
        <w:rPr>
          <w:rFonts w:cs="Times New Roman"/>
          <w:color w:val="auto"/>
          <w:highlight w:val="none"/>
        </w:rPr>
        <w:t>土壤流失控制比</w:t>
      </w:r>
    </w:p>
    <w:p>
      <w:pPr>
        <w:ind w:firstLine="480"/>
        <w:rPr>
          <w:rFonts w:cs="Times New Roman"/>
          <w:color w:val="auto"/>
          <w:highlight w:val="none"/>
        </w:rPr>
      </w:pPr>
      <w:r>
        <w:rPr>
          <w:rFonts w:cs="Times New Roman"/>
          <w:color w:val="auto"/>
          <w:highlight w:val="none"/>
        </w:rPr>
        <w:t>项</w:t>
      </w:r>
      <w:r>
        <w:rPr>
          <w:rFonts w:hint="eastAsia" w:cs="Times New Roman"/>
          <w:color w:val="auto"/>
          <w:highlight w:val="none"/>
        </w:rPr>
        <w:t>目区容许土壤流失量为500t/km</w:t>
      </w:r>
      <w:r>
        <w:rPr>
          <w:rFonts w:hint="eastAsia" w:cs="Times New Roman"/>
          <w:color w:val="auto"/>
          <w:highlight w:val="none"/>
          <w:vertAlign w:val="superscript"/>
        </w:rPr>
        <w:t>2</w:t>
      </w:r>
      <w:r>
        <w:rPr>
          <w:rFonts w:hint="eastAsia" w:cs="Times New Roman"/>
          <w:color w:val="auto"/>
          <w:highlight w:val="none"/>
        </w:rPr>
        <w:t>·a。根据水土保持监测结果并经核实，项目区治理后平均土壤流失量约为</w:t>
      </w:r>
      <w:r>
        <w:rPr>
          <w:rFonts w:hint="eastAsia" w:cs="Times New Roman"/>
          <w:color w:val="auto"/>
          <w:highlight w:val="none"/>
          <w:lang w:val="en-US" w:eastAsia="zh-CN"/>
        </w:rPr>
        <w:t>408</w:t>
      </w:r>
      <w:r>
        <w:rPr>
          <w:rFonts w:hint="eastAsia" w:cs="Times New Roman"/>
          <w:color w:val="auto"/>
          <w:highlight w:val="none"/>
        </w:rPr>
        <w:t>t/km</w:t>
      </w:r>
      <w:r>
        <w:rPr>
          <w:rFonts w:hint="eastAsia" w:cs="Times New Roman"/>
          <w:color w:val="auto"/>
          <w:highlight w:val="none"/>
          <w:vertAlign w:val="superscript"/>
        </w:rPr>
        <w:t>2</w:t>
      </w:r>
      <w:r>
        <w:rPr>
          <w:rFonts w:hint="eastAsia" w:cs="Times New Roman"/>
          <w:color w:val="auto"/>
          <w:highlight w:val="none"/>
        </w:rPr>
        <w:t>·a，土壤流失控制比为1.2</w:t>
      </w:r>
      <w:r>
        <w:rPr>
          <w:rFonts w:hint="eastAsia" w:cs="Times New Roman"/>
          <w:color w:val="auto"/>
          <w:highlight w:val="none"/>
          <w:lang w:val="en-US" w:eastAsia="zh-CN"/>
        </w:rPr>
        <w:t>3</w:t>
      </w:r>
      <w:r>
        <w:rPr>
          <w:rFonts w:hint="eastAsia" w:cs="Times New Roman"/>
          <w:color w:val="auto"/>
          <w:highlight w:val="none"/>
        </w:rPr>
        <w:t>，达到批复的水土保持方案确定的防治目标值1.0</w:t>
      </w:r>
      <w:r>
        <w:rPr>
          <w:rFonts w:cs="Times New Roman"/>
          <w:color w:val="auto"/>
          <w:highlight w:val="none"/>
        </w:rPr>
        <w:t>。</w:t>
      </w:r>
    </w:p>
    <w:p>
      <w:pPr>
        <w:pStyle w:val="15"/>
        <w:rPr>
          <w:rFonts w:cs="Times New Roman"/>
          <w:color w:val="auto"/>
          <w:highlight w:val="none"/>
        </w:rPr>
      </w:pPr>
    </w:p>
    <w:p>
      <w:pPr>
        <w:pStyle w:val="15"/>
        <w:rPr>
          <w:rFonts w:cs="Times New Roman"/>
          <w:color w:val="auto"/>
          <w:highlight w:val="none"/>
        </w:rPr>
      </w:pPr>
      <w:r>
        <w:rPr>
          <w:rFonts w:cs="Times New Roman"/>
          <w:color w:val="auto"/>
          <w:highlight w:val="none"/>
        </w:rPr>
        <w:t>表5.2-</w:t>
      </w:r>
      <w:r>
        <w:rPr>
          <w:rFonts w:hint="eastAsia" w:cs="Times New Roman"/>
          <w:color w:val="auto"/>
          <w:highlight w:val="none"/>
        </w:rPr>
        <w:t>4</w:t>
      </w:r>
      <w:r>
        <w:rPr>
          <w:rFonts w:cs="Times New Roman"/>
          <w:color w:val="auto"/>
          <w:highlight w:val="none"/>
        </w:rPr>
        <w:t xml:space="preserve">  各分区土壤流失控制比一览表</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81"/>
        <w:gridCol w:w="1095"/>
        <w:gridCol w:w="1486"/>
        <w:gridCol w:w="2306"/>
        <w:gridCol w:w="2197"/>
        <w:gridCol w:w="143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1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序号</w:t>
            </w:r>
          </w:p>
        </w:tc>
        <w:tc>
          <w:tcPr>
            <w:tcW w:w="601"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防治分区</w:t>
            </w:r>
          </w:p>
        </w:tc>
        <w:tc>
          <w:tcPr>
            <w:tcW w:w="816"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项目建设区(hm</w:t>
            </w:r>
            <w:r>
              <w:rPr>
                <w:color w:val="auto"/>
                <w:highlight w:val="none"/>
                <w:vertAlign w:val="superscript"/>
              </w:rPr>
              <w:t>2</w:t>
            </w:r>
            <w:r>
              <w:rPr>
                <w:color w:val="auto"/>
                <w:highlight w:val="none"/>
              </w:rPr>
              <w:t>)</w:t>
            </w:r>
          </w:p>
        </w:tc>
        <w:tc>
          <w:tcPr>
            <w:tcW w:w="1266" w:type="pct"/>
            <w:tcBorders>
              <w:tl2br w:val="nil"/>
              <w:tr2bl w:val="nil"/>
            </w:tcBorders>
            <w:shd w:val="clear" w:color="auto" w:fill="auto"/>
            <w:tcMar>
              <w:top w:w="15" w:type="dxa"/>
              <w:left w:w="15" w:type="dxa"/>
              <w:right w:w="15" w:type="dxa"/>
            </w:tcMar>
          </w:tcPr>
          <w:p>
            <w:pPr>
              <w:pStyle w:val="16"/>
              <w:rPr>
                <w:color w:val="auto"/>
                <w:highlight w:val="none"/>
              </w:rPr>
            </w:pPr>
            <w:r>
              <w:rPr>
                <w:rFonts w:hint="eastAsia"/>
                <w:color w:val="auto"/>
                <w:highlight w:val="none"/>
              </w:rPr>
              <w:t>治理后土壤流失量（</w:t>
            </w:r>
            <w:r>
              <w:rPr>
                <w:color w:val="auto"/>
                <w:highlight w:val="none"/>
              </w:rPr>
              <w:t>t/km</w:t>
            </w:r>
            <w:r>
              <w:rPr>
                <w:color w:val="auto"/>
                <w:highlight w:val="none"/>
                <w:vertAlign w:val="superscript"/>
              </w:rPr>
              <w:t>2</w:t>
            </w:r>
            <w:r>
              <w:rPr>
                <w:color w:val="auto"/>
                <w:highlight w:val="none"/>
              </w:rPr>
              <w:t>.a）</w:t>
            </w:r>
          </w:p>
        </w:tc>
        <w:tc>
          <w:tcPr>
            <w:tcW w:w="1206" w:type="pct"/>
            <w:tcBorders>
              <w:tl2br w:val="nil"/>
              <w:tr2bl w:val="nil"/>
            </w:tcBorders>
            <w:shd w:val="clear" w:color="auto" w:fill="auto"/>
            <w:tcMar>
              <w:top w:w="15" w:type="dxa"/>
              <w:left w:w="15" w:type="dxa"/>
              <w:right w:w="15" w:type="dxa"/>
            </w:tcMar>
          </w:tcPr>
          <w:p>
            <w:pPr>
              <w:pStyle w:val="16"/>
              <w:rPr>
                <w:color w:val="auto"/>
                <w:highlight w:val="none"/>
              </w:rPr>
            </w:pPr>
            <w:r>
              <w:rPr>
                <w:color w:val="auto"/>
                <w:highlight w:val="none"/>
              </w:rPr>
              <w:t>容许土壤侵蚀模数（t/km</w:t>
            </w:r>
            <w:r>
              <w:rPr>
                <w:color w:val="auto"/>
                <w:highlight w:val="none"/>
                <w:vertAlign w:val="superscript"/>
              </w:rPr>
              <w:t>2</w:t>
            </w:r>
            <w:r>
              <w:rPr>
                <w:color w:val="auto"/>
                <w:highlight w:val="none"/>
              </w:rPr>
              <w:t>.a）</w:t>
            </w:r>
          </w:p>
        </w:tc>
        <w:tc>
          <w:tcPr>
            <w:tcW w:w="789" w:type="pct"/>
            <w:tcBorders>
              <w:tl2br w:val="nil"/>
              <w:tr2bl w:val="nil"/>
            </w:tcBorders>
            <w:shd w:val="clear" w:color="auto" w:fill="auto"/>
            <w:tcMar>
              <w:top w:w="15" w:type="dxa"/>
              <w:left w:w="15" w:type="dxa"/>
              <w:right w:w="15" w:type="dxa"/>
            </w:tcMar>
          </w:tcPr>
          <w:p>
            <w:pPr>
              <w:pStyle w:val="16"/>
              <w:rPr>
                <w:color w:val="auto"/>
                <w:highlight w:val="none"/>
              </w:rPr>
            </w:pPr>
            <w:r>
              <w:rPr>
                <w:color w:val="auto"/>
                <w:highlight w:val="none"/>
              </w:rPr>
              <w:t>水土流失控制比</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1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1</w:t>
            </w:r>
          </w:p>
        </w:tc>
        <w:tc>
          <w:tcPr>
            <w:tcW w:w="601" w:type="pct"/>
            <w:tcBorders>
              <w:tl2br w:val="nil"/>
              <w:tr2bl w:val="nil"/>
            </w:tcBorders>
            <w:shd w:val="clear" w:color="auto" w:fill="auto"/>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816" w:type="pct"/>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lang w:eastAsia="zh-CN"/>
              </w:rPr>
            </w:pPr>
            <w:r>
              <w:rPr>
                <w:rFonts w:hint="default"/>
                <w:color w:val="auto"/>
                <w:highlight w:val="none"/>
                <w:lang w:val="en-US" w:eastAsia="zh-CN"/>
              </w:rPr>
              <w:t>2.77</w:t>
            </w:r>
          </w:p>
        </w:tc>
        <w:tc>
          <w:tcPr>
            <w:tcW w:w="126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400</w:t>
            </w:r>
          </w:p>
        </w:tc>
        <w:tc>
          <w:tcPr>
            <w:tcW w:w="1206" w:type="pct"/>
            <w:tcBorders>
              <w:tl2br w:val="nil"/>
              <w:tr2bl w:val="nil"/>
            </w:tcBorders>
            <w:shd w:val="clear" w:color="auto" w:fill="auto"/>
            <w:noWrap/>
            <w:tcMar>
              <w:top w:w="15" w:type="dxa"/>
              <w:left w:w="15" w:type="dxa"/>
              <w:right w:w="15" w:type="dxa"/>
            </w:tcMar>
            <w:vAlign w:val="top"/>
          </w:tcPr>
          <w:p>
            <w:pPr>
              <w:pStyle w:val="16"/>
              <w:bidi w:val="0"/>
              <w:rPr>
                <w:color w:val="auto"/>
                <w:highlight w:val="none"/>
              </w:rPr>
            </w:pPr>
            <w:r>
              <w:rPr>
                <w:rFonts w:hint="default"/>
                <w:color w:val="auto"/>
                <w:highlight w:val="none"/>
                <w:lang w:val="en-US" w:eastAsia="zh-CN"/>
              </w:rPr>
              <w:t>500</w:t>
            </w:r>
          </w:p>
        </w:tc>
        <w:tc>
          <w:tcPr>
            <w:tcW w:w="789"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1.25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1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2</w:t>
            </w:r>
          </w:p>
        </w:tc>
        <w:tc>
          <w:tcPr>
            <w:tcW w:w="601" w:type="pct"/>
            <w:tcBorders>
              <w:tl2br w:val="nil"/>
              <w:tr2bl w:val="nil"/>
            </w:tcBorders>
            <w:shd w:val="clear" w:color="auto" w:fill="auto"/>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81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1.47</w:t>
            </w:r>
          </w:p>
        </w:tc>
        <w:tc>
          <w:tcPr>
            <w:tcW w:w="126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412</w:t>
            </w:r>
          </w:p>
        </w:tc>
        <w:tc>
          <w:tcPr>
            <w:tcW w:w="1206" w:type="pct"/>
            <w:tcBorders>
              <w:tl2br w:val="nil"/>
              <w:tr2bl w:val="nil"/>
            </w:tcBorders>
            <w:shd w:val="clear" w:color="auto" w:fill="auto"/>
            <w:noWrap/>
            <w:tcMar>
              <w:top w:w="15" w:type="dxa"/>
              <w:left w:w="15" w:type="dxa"/>
              <w:right w:w="15" w:type="dxa"/>
            </w:tcMar>
            <w:vAlign w:val="top"/>
          </w:tcPr>
          <w:p>
            <w:pPr>
              <w:pStyle w:val="16"/>
              <w:bidi w:val="0"/>
              <w:rPr>
                <w:color w:val="auto"/>
                <w:highlight w:val="none"/>
              </w:rPr>
            </w:pPr>
            <w:r>
              <w:rPr>
                <w:rFonts w:hint="default"/>
                <w:color w:val="auto"/>
                <w:highlight w:val="none"/>
                <w:lang w:val="en-US" w:eastAsia="zh-CN"/>
              </w:rPr>
              <w:t>500</w:t>
            </w:r>
          </w:p>
        </w:tc>
        <w:tc>
          <w:tcPr>
            <w:tcW w:w="789"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1.21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1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3</w:t>
            </w:r>
          </w:p>
        </w:tc>
        <w:tc>
          <w:tcPr>
            <w:tcW w:w="601" w:type="pct"/>
            <w:tcBorders>
              <w:tl2br w:val="nil"/>
              <w:tr2bl w:val="nil"/>
            </w:tcBorders>
            <w:shd w:val="clear" w:color="auto" w:fill="auto"/>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81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0.21</w:t>
            </w:r>
          </w:p>
        </w:tc>
        <w:tc>
          <w:tcPr>
            <w:tcW w:w="126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478</w:t>
            </w:r>
          </w:p>
        </w:tc>
        <w:tc>
          <w:tcPr>
            <w:tcW w:w="1206" w:type="pct"/>
            <w:tcBorders>
              <w:tl2br w:val="nil"/>
              <w:tr2bl w:val="nil"/>
            </w:tcBorders>
            <w:shd w:val="clear" w:color="auto" w:fill="auto"/>
            <w:noWrap/>
            <w:tcMar>
              <w:top w:w="15" w:type="dxa"/>
              <w:left w:w="15" w:type="dxa"/>
              <w:right w:w="15" w:type="dxa"/>
            </w:tcMar>
            <w:vAlign w:val="top"/>
          </w:tcPr>
          <w:p>
            <w:pPr>
              <w:pStyle w:val="16"/>
              <w:bidi w:val="0"/>
              <w:rPr>
                <w:color w:val="auto"/>
                <w:highlight w:val="none"/>
              </w:rPr>
            </w:pPr>
            <w:r>
              <w:rPr>
                <w:rFonts w:hint="default"/>
                <w:color w:val="auto"/>
                <w:highlight w:val="none"/>
                <w:lang w:val="en-US" w:eastAsia="zh-CN"/>
              </w:rPr>
              <w:t>500</w:t>
            </w:r>
          </w:p>
        </w:tc>
        <w:tc>
          <w:tcPr>
            <w:tcW w:w="789"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1.05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20"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平均值</w:t>
            </w:r>
          </w:p>
        </w:tc>
        <w:tc>
          <w:tcPr>
            <w:tcW w:w="816" w:type="pct"/>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lang w:eastAsia="zh-CN"/>
              </w:rPr>
            </w:pPr>
            <w:r>
              <w:rPr>
                <w:rFonts w:hint="eastAsia"/>
                <w:color w:val="auto"/>
                <w:highlight w:val="none"/>
                <w:lang w:val="en-US" w:eastAsia="zh-CN"/>
              </w:rPr>
              <w:t>4.45</w:t>
            </w:r>
          </w:p>
        </w:tc>
        <w:tc>
          <w:tcPr>
            <w:tcW w:w="1266"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408 </w:t>
            </w:r>
          </w:p>
        </w:tc>
        <w:tc>
          <w:tcPr>
            <w:tcW w:w="1206" w:type="pct"/>
            <w:tcBorders>
              <w:tl2br w:val="nil"/>
              <w:tr2bl w:val="nil"/>
            </w:tcBorders>
            <w:shd w:val="clear" w:color="auto" w:fill="auto"/>
            <w:noWrap/>
            <w:tcMar>
              <w:top w:w="15" w:type="dxa"/>
              <w:left w:w="15" w:type="dxa"/>
              <w:right w:w="15" w:type="dxa"/>
            </w:tcMar>
            <w:vAlign w:val="top"/>
          </w:tcPr>
          <w:p>
            <w:pPr>
              <w:pStyle w:val="16"/>
              <w:bidi w:val="0"/>
              <w:rPr>
                <w:color w:val="auto"/>
                <w:highlight w:val="none"/>
              </w:rPr>
            </w:pPr>
            <w:r>
              <w:rPr>
                <w:rFonts w:hint="default"/>
                <w:color w:val="auto"/>
                <w:highlight w:val="none"/>
                <w:lang w:val="en-US" w:eastAsia="zh-CN"/>
              </w:rPr>
              <w:t>500</w:t>
            </w:r>
          </w:p>
        </w:tc>
        <w:tc>
          <w:tcPr>
            <w:tcW w:w="789" w:type="pct"/>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1.23 </w:t>
            </w:r>
          </w:p>
        </w:tc>
      </w:tr>
    </w:tbl>
    <w:p>
      <w:pPr>
        <w:pStyle w:val="4"/>
        <w:rPr>
          <w:rFonts w:cs="Times New Roman"/>
          <w:color w:val="auto"/>
          <w:highlight w:val="none"/>
        </w:rPr>
      </w:pPr>
      <w:r>
        <w:rPr>
          <w:rFonts w:hint="eastAsia" w:cs="Times New Roman"/>
          <w:color w:val="auto"/>
          <w:highlight w:val="none"/>
        </w:rPr>
        <w:t>拦渣率</w:t>
      </w:r>
    </w:p>
    <w:p>
      <w:pPr>
        <w:ind w:firstLine="480"/>
        <w:rPr>
          <w:color w:val="auto"/>
          <w:highlight w:val="none"/>
        </w:rPr>
      </w:pPr>
      <w:r>
        <w:rPr>
          <w:color w:val="auto"/>
          <w:highlight w:val="none"/>
        </w:rPr>
        <w:t>根据监理资料、竣工资料及结合现场调查，</w:t>
      </w:r>
      <w:r>
        <w:rPr>
          <w:rFonts w:hint="eastAsia"/>
          <w:color w:val="auto"/>
          <w:highlight w:val="none"/>
          <w:lang w:val="en-US" w:eastAsia="zh-CN"/>
        </w:rPr>
        <w:t>项目场地</w:t>
      </w:r>
      <w:r>
        <w:rPr>
          <w:rFonts w:hint="eastAsia"/>
          <w:color w:val="auto"/>
          <w:highlight w:val="none"/>
        </w:rPr>
        <w:t>堆渣总量为12.89万m</w:t>
      </w:r>
      <w:r>
        <w:rPr>
          <w:rFonts w:hint="eastAsia"/>
          <w:color w:val="auto"/>
          <w:highlight w:val="none"/>
          <w:vertAlign w:val="superscript"/>
        </w:rPr>
        <w:t>2</w:t>
      </w:r>
      <w:r>
        <w:rPr>
          <w:rFonts w:hint="eastAsia"/>
          <w:color w:val="auto"/>
          <w:highlight w:val="none"/>
        </w:rPr>
        <w:t>，实际拦渣量为12.87万m</w:t>
      </w:r>
      <w:r>
        <w:rPr>
          <w:rFonts w:hint="eastAsia"/>
          <w:color w:val="auto"/>
          <w:highlight w:val="none"/>
          <w:vertAlign w:val="superscript"/>
        </w:rPr>
        <w:t>3</w:t>
      </w:r>
      <w:r>
        <w:rPr>
          <w:rFonts w:hint="eastAsia"/>
          <w:color w:val="auto"/>
          <w:highlight w:val="none"/>
        </w:rPr>
        <w:t>。拦渣率为</w:t>
      </w:r>
      <w:r>
        <w:rPr>
          <w:rFonts w:hint="eastAsia"/>
          <w:color w:val="auto"/>
          <w:highlight w:val="none"/>
          <w:lang w:eastAsia="zh-CN"/>
        </w:rPr>
        <w:t>99.84</w:t>
      </w:r>
      <w:r>
        <w:rPr>
          <w:rFonts w:hint="eastAsia"/>
          <w:color w:val="auto"/>
          <w:highlight w:val="none"/>
        </w:rPr>
        <w:t>%，</w:t>
      </w:r>
      <w:r>
        <w:rPr>
          <w:color w:val="auto"/>
          <w:highlight w:val="none"/>
        </w:rPr>
        <w:t>达到了方案设计目标值95%</w:t>
      </w:r>
      <w:r>
        <w:rPr>
          <w:rFonts w:hint="eastAsia"/>
          <w:color w:val="auto"/>
          <w:highlight w:val="none"/>
        </w:rPr>
        <w:t>。</w:t>
      </w:r>
    </w:p>
    <w:p>
      <w:pPr>
        <w:pStyle w:val="15"/>
        <w:rPr>
          <w:color w:val="auto"/>
          <w:highlight w:val="none"/>
        </w:rPr>
      </w:pPr>
      <w:r>
        <w:rPr>
          <w:rFonts w:cs="Times New Roman"/>
          <w:color w:val="auto"/>
          <w:highlight w:val="none"/>
        </w:rPr>
        <w:t>表5.2-</w:t>
      </w:r>
      <w:r>
        <w:rPr>
          <w:rFonts w:hint="eastAsia" w:cs="Times New Roman"/>
          <w:color w:val="auto"/>
          <w:highlight w:val="none"/>
        </w:rPr>
        <w:t>5</w:t>
      </w:r>
      <w:r>
        <w:rPr>
          <w:rFonts w:cs="Times New Roman"/>
          <w:color w:val="auto"/>
          <w:highlight w:val="none"/>
        </w:rPr>
        <w:t xml:space="preserve">  </w:t>
      </w:r>
      <w:r>
        <w:rPr>
          <w:rFonts w:hint="eastAsia" w:cs="Times New Roman"/>
          <w:color w:val="auto"/>
          <w:highlight w:val="none"/>
        </w:rPr>
        <w:t>拦渣率</w:t>
      </w:r>
      <w:r>
        <w:rPr>
          <w:rFonts w:cs="Times New Roman"/>
          <w:color w:val="auto"/>
          <w:highlight w:val="none"/>
        </w:rPr>
        <w:t>一览表</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152"/>
        <w:gridCol w:w="1524"/>
        <w:gridCol w:w="2963"/>
        <w:gridCol w:w="1529"/>
        <w:gridCol w:w="192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633"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序号</w:t>
            </w:r>
          </w:p>
        </w:tc>
        <w:tc>
          <w:tcPr>
            <w:tcW w:w="837"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防治分区</w:t>
            </w:r>
          </w:p>
        </w:tc>
        <w:tc>
          <w:tcPr>
            <w:tcW w:w="1628"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实际挡护永久弃渣、临时堆土量（万m³）</w:t>
            </w:r>
          </w:p>
        </w:tc>
        <w:tc>
          <w:tcPr>
            <w:tcW w:w="840"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永久弃渣、临时堆土量总量（万m³）</w:t>
            </w:r>
          </w:p>
        </w:tc>
        <w:tc>
          <w:tcPr>
            <w:tcW w:w="1060" w:type="pct"/>
            <w:tcBorders>
              <w:tl2br w:val="nil"/>
              <w:tr2bl w:val="nil"/>
            </w:tcBorders>
            <w:shd w:val="clear" w:color="auto" w:fill="auto"/>
            <w:tcMar>
              <w:top w:w="15" w:type="dxa"/>
              <w:left w:w="15" w:type="dxa"/>
              <w:right w:w="15" w:type="dxa"/>
            </w:tcMar>
            <w:vAlign w:val="center"/>
          </w:tcPr>
          <w:p>
            <w:pPr>
              <w:pStyle w:val="16"/>
              <w:bidi w:val="0"/>
              <w:jc w:val="center"/>
              <w:rPr>
                <w:rFonts w:hint="eastAsia"/>
                <w:color w:val="auto"/>
                <w:highlight w:val="none"/>
              </w:rPr>
            </w:pPr>
            <w:r>
              <w:rPr>
                <w:rFonts w:hint="eastAsia"/>
                <w:color w:val="auto"/>
                <w:highlight w:val="none"/>
                <w:lang w:val="en-US" w:eastAsia="zh-CN"/>
              </w:rPr>
              <w:t>拦渣率(%)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5" w:hRule="atLeast"/>
        </w:trPr>
        <w:tc>
          <w:tcPr>
            <w:tcW w:w="633"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1</w:t>
            </w:r>
          </w:p>
        </w:tc>
        <w:tc>
          <w:tcPr>
            <w:tcW w:w="837"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建构筑物区</w:t>
            </w:r>
          </w:p>
        </w:tc>
        <w:tc>
          <w:tcPr>
            <w:tcW w:w="1628"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8.01</w:t>
            </w:r>
          </w:p>
        </w:tc>
        <w:tc>
          <w:tcPr>
            <w:tcW w:w="840"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8.02</w:t>
            </w:r>
          </w:p>
        </w:tc>
        <w:tc>
          <w:tcPr>
            <w:tcW w:w="1060"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99.88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33"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2</w:t>
            </w:r>
          </w:p>
        </w:tc>
        <w:tc>
          <w:tcPr>
            <w:tcW w:w="837"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道路及硬化工程</w:t>
            </w:r>
          </w:p>
        </w:tc>
        <w:tc>
          <w:tcPr>
            <w:tcW w:w="1628"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4.25</w:t>
            </w:r>
          </w:p>
        </w:tc>
        <w:tc>
          <w:tcPr>
            <w:tcW w:w="840"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4.26</w:t>
            </w:r>
          </w:p>
        </w:tc>
        <w:tc>
          <w:tcPr>
            <w:tcW w:w="1060"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99.77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33"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3</w:t>
            </w:r>
          </w:p>
        </w:tc>
        <w:tc>
          <w:tcPr>
            <w:tcW w:w="837"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绿化工程</w:t>
            </w:r>
          </w:p>
        </w:tc>
        <w:tc>
          <w:tcPr>
            <w:tcW w:w="1628"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0.61</w:t>
            </w:r>
          </w:p>
        </w:tc>
        <w:tc>
          <w:tcPr>
            <w:tcW w:w="840"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0.61</w:t>
            </w:r>
          </w:p>
        </w:tc>
        <w:tc>
          <w:tcPr>
            <w:tcW w:w="1060"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100.00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470" w:type="pct"/>
            <w:gridSpan w:val="2"/>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小计</w:t>
            </w:r>
          </w:p>
        </w:tc>
        <w:tc>
          <w:tcPr>
            <w:tcW w:w="1628"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12.87</w:t>
            </w:r>
          </w:p>
        </w:tc>
        <w:tc>
          <w:tcPr>
            <w:tcW w:w="840" w:type="pct"/>
            <w:tcBorders>
              <w:tl2br w:val="nil"/>
              <w:tr2bl w:val="nil"/>
            </w:tcBorders>
            <w:shd w:val="clear" w:color="auto" w:fill="auto"/>
            <w:noWrap/>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12.89</w:t>
            </w:r>
          </w:p>
        </w:tc>
        <w:tc>
          <w:tcPr>
            <w:tcW w:w="1060" w:type="pct"/>
            <w:tcBorders>
              <w:tl2br w:val="nil"/>
              <w:tr2bl w:val="nil"/>
            </w:tcBorders>
            <w:shd w:val="clear" w:color="auto" w:fill="auto"/>
            <w:tcMar>
              <w:top w:w="15" w:type="dxa"/>
              <w:left w:w="15" w:type="dxa"/>
              <w:right w:w="15" w:type="dxa"/>
            </w:tcMar>
            <w:vAlign w:val="center"/>
          </w:tcPr>
          <w:p>
            <w:pPr>
              <w:pStyle w:val="16"/>
              <w:bidi w:val="0"/>
              <w:jc w:val="center"/>
              <w:rPr>
                <w:rFonts w:hint="default"/>
                <w:color w:val="auto"/>
                <w:highlight w:val="none"/>
              </w:rPr>
            </w:pPr>
            <w:r>
              <w:rPr>
                <w:rFonts w:hint="default"/>
                <w:color w:val="auto"/>
                <w:highlight w:val="none"/>
                <w:lang w:val="en-US" w:eastAsia="zh-CN"/>
              </w:rPr>
              <w:t>99.84</w:t>
            </w:r>
          </w:p>
        </w:tc>
      </w:tr>
    </w:tbl>
    <w:p>
      <w:pPr>
        <w:pStyle w:val="4"/>
        <w:rPr>
          <w:rFonts w:cs="Times New Roman"/>
          <w:color w:val="auto"/>
          <w:highlight w:val="none"/>
        </w:rPr>
      </w:pPr>
      <w:r>
        <w:rPr>
          <w:rFonts w:cs="Times New Roman"/>
          <w:color w:val="auto"/>
          <w:highlight w:val="none"/>
        </w:rPr>
        <w:t>林草植被恢复率</w:t>
      </w:r>
    </w:p>
    <w:p>
      <w:pPr>
        <w:ind w:firstLine="480"/>
        <w:rPr>
          <w:rFonts w:cs="Times New Roman"/>
          <w:color w:val="auto"/>
          <w:highlight w:val="none"/>
        </w:rPr>
      </w:pPr>
      <w:r>
        <w:rPr>
          <w:rFonts w:cs="Times New Roman"/>
          <w:color w:val="auto"/>
          <w:highlight w:val="none"/>
        </w:rPr>
        <w:t>根据水土保持监测结果并结合项目建设前后遥感影像分析，工程可绿化面积</w:t>
      </w:r>
      <w:r>
        <w:rPr>
          <w:rFonts w:hint="eastAsia" w:cs="Times New Roman"/>
          <w:color w:val="auto"/>
          <w:highlight w:val="none"/>
          <w:lang w:eastAsia="zh-CN"/>
        </w:rPr>
        <w:t>0.310</w:t>
      </w:r>
      <w:r>
        <w:rPr>
          <w:rFonts w:hint="eastAsia" w:cs="Times New Roman"/>
          <w:color w:val="auto"/>
          <w:highlight w:val="none"/>
        </w:rPr>
        <w:t xml:space="preserve"> h</w:t>
      </w:r>
      <w:r>
        <w:rPr>
          <w:rFonts w:cs="Times New Roman"/>
          <w:color w:val="auto"/>
          <w:highlight w:val="none"/>
        </w:rPr>
        <w:t>m</w:t>
      </w:r>
      <w:r>
        <w:rPr>
          <w:rFonts w:cs="Times New Roman"/>
          <w:color w:val="auto"/>
          <w:highlight w:val="none"/>
          <w:vertAlign w:val="superscript"/>
        </w:rPr>
        <w:t>2</w:t>
      </w:r>
      <w:r>
        <w:rPr>
          <w:rFonts w:cs="Times New Roman"/>
          <w:color w:val="auto"/>
          <w:highlight w:val="none"/>
        </w:rPr>
        <w:t>，实际恢复的林草植被面积</w:t>
      </w:r>
      <w:r>
        <w:rPr>
          <w:rFonts w:hint="eastAsia" w:cs="Times New Roman"/>
          <w:color w:val="auto"/>
          <w:highlight w:val="none"/>
          <w:lang w:eastAsia="zh-CN"/>
        </w:rPr>
        <w:t>0.309</w:t>
      </w:r>
      <w:r>
        <w:rPr>
          <w:rFonts w:hint="eastAsia" w:cs="Times New Roman"/>
          <w:color w:val="auto"/>
          <w:highlight w:val="none"/>
        </w:rPr>
        <w:t xml:space="preserve"> </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，林草植被恢复率为</w:t>
      </w:r>
      <w:r>
        <w:rPr>
          <w:rFonts w:hint="eastAsia" w:cs="Times New Roman"/>
          <w:color w:val="auto"/>
          <w:highlight w:val="none"/>
          <w:lang w:eastAsia="zh-CN"/>
        </w:rPr>
        <w:t>99.61</w:t>
      </w:r>
      <w:r>
        <w:rPr>
          <w:rFonts w:cs="Times New Roman"/>
          <w:color w:val="auto"/>
          <w:highlight w:val="none"/>
        </w:rPr>
        <w:t>%，达到批复的水土保持方案确定的防治目标值9</w:t>
      </w:r>
      <w:r>
        <w:rPr>
          <w:rFonts w:hint="eastAsia" w:cs="Times New Roman"/>
          <w:color w:val="auto"/>
          <w:highlight w:val="none"/>
        </w:rPr>
        <w:t>9</w:t>
      </w:r>
      <w:r>
        <w:rPr>
          <w:rFonts w:cs="Times New Roman"/>
          <w:color w:val="auto"/>
          <w:highlight w:val="none"/>
        </w:rPr>
        <w:t>%。</w:t>
      </w:r>
    </w:p>
    <w:p>
      <w:pPr>
        <w:pStyle w:val="15"/>
        <w:rPr>
          <w:rFonts w:cs="Times New Roman"/>
          <w:color w:val="auto"/>
          <w:highlight w:val="none"/>
        </w:rPr>
      </w:pPr>
      <w:r>
        <w:rPr>
          <w:rFonts w:cs="Times New Roman"/>
          <w:color w:val="auto"/>
          <w:highlight w:val="none"/>
        </w:rPr>
        <w:t>表5.2-6 各分区林草植被恢复率一览表（单位：hm</w:t>
      </w:r>
      <w:r>
        <w:rPr>
          <w:rFonts w:cs="Times New Roman"/>
          <w:color w:val="auto"/>
          <w:highlight w:val="none"/>
          <w:vertAlign w:val="superscript"/>
        </w:rPr>
        <w:t>2</w:t>
      </w:r>
      <w:r>
        <w:rPr>
          <w:rFonts w:cs="Times New Roman"/>
          <w:color w:val="auto"/>
          <w:highlight w:val="none"/>
        </w:rPr>
        <w:t>）</w:t>
      </w:r>
    </w:p>
    <w:tbl>
      <w:tblPr>
        <w:tblStyle w:val="1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67"/>
        <w:gridCol w:w="1830"/>
        <w:gridCol w:w="1104"/>
        <w:gridCol w:w="1745"/>
        <w:gridCol w:w="1854"/>
        <w:gridCol w:w="190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1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序号</w:t>
            </w:r>
          </w:p>
        </w:tc>
        <w:tc>
          <w:tcPr>
            <w:tcW w:w="742"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防治分区</w:t>
            </w:r>
          </w:p>
        </w:tc>
        <w:tc>
          <w:tcPr>
            <w:tcW w:w="65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项目建设区</w:t>
            </w:r>
          </w:p>
        </w:tc>
        <w:tc>
          <w:tcPr>
            <w:tcW w:w="1011"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可恢复林草植被面积</w:t>
            </w:r>
          </w:p>
        </w:tc>
        <w:tc>
          <w:tcPr>
            <w:tcW w:w="1071"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已绿化或自然恢复面积</w:t>
            </w:r>
          </w:p>
        </w:tc>
        <w:tc>
          <w:tcPr>
            <w:tcW w:w="1097"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林草植被恢复率(%)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1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1</w:t>
            </w:r>
          </w:p>
        </w:tc>
        <w:tc>
          <w:tcPr>
            <w:tcW w:w="742"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1104" w:type="dxa"/>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lang w:eastAsia="zh-CN"/>
              </w:rPr>
            </w:pPr>
            <w:r>
              <w:rPr>
                <w:rFonts w:hint="default"/>
                <w:color w:val="auto"/>
                <w:highlight w:val="none"/>
                <w:lang w:val="en-US" w:eastAsia="zh-CN"/>
              </w:rPr>
              <w:t>2.77</w:t>
            </w:r>
          </w:p>
        </w:tc>
        <w:tc>
          <w:tcPr>
            <w:tcW w:w="1745"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0.000 </w:t>
            </w:r>
          </w:p>
        </w:tc>
        <w:tc>
          <w:tcPr>
            <w:tcW w:w="185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0.000 </w:t>
            </w:r>
          </w:p>
        </w:tc>
        <w:tc>
          <w:tcPr>
            <w:tcW w:w="1902"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1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2</w:t>
            </w:r>
          </w:p>
        </w:tc>
        <w:tc>
          <w:tcPr>
            <w:tcW w:w="742"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110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1.47</w:t>
            </w:r>
          </w:p>
        </w:tc>
        <w:tc>
          <w:tcPr>
            <w:tcW w:w="1745"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0.100 </w:t>
            </w:r>
          </w:p>
        </w:tc>
        <w:tc>
          <w:tcPr>
            <w:tcW w:w="185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0.100 </w:t>
            </w:r>
          </w:p>
        </w:tc>
        <w:tc>
          <w:tcPr>
            <w:tcW w:w="1902"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1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3</w:t>
            </w:r>
          </w:p>
        </w:tc>
        <w:tc>
          <w:tcPr>
            <w:tcW w:w="742"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110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0.21</w:t>
            </w:r>
          </w:p>
        </w:tc>
        <w:tc>
          <w:tcPr>
            <w:tcW w:w="1745" w:type="dxa"/>
            <w:tcBorders>
              <w:tl2br w:val="nil"/>
              <w:tr2bl w:val="nil"/>
            </w:tcBorders>
            <w:shd w:val="clear" w:color="auto" w:fill="auto"/>
            <w:noWrap/>
            <w:tcMar>
              <w:top w:w="15" w:type="dxa"/>
              <w:left w:w="15" w:type="dxa"/>
              <w:right w:w="15" w:type="dxa"/>
            </w:tcMar>
            <w:vAlign w:val="top"/>
          </w:tcPr>
          <w:p>
            <w:pPr>
              <w:pStyle w:val="16"/>
              <w:bidi w:val="0"/>
              <w:rPr>
                <w:color w:val="auto"/>
                <w:highlight w:val="none"/>
              </w:rPr>
            </w:pPr>
            <w:r>
              <w:rPr>
                <w:rFonts w:hint="default"/>
                <w:color w:val="auto"/>
                <w:highlight w:val="none"/>
                <w:lang w:val="en-US" w:eastAsia="zh-CN"/>
              </w:rPr>
              <w:t xml:space="preserve">0.210 </w:t>
            </w:r>
          </w:p>
        </w:tc>
        <w:tc>
          <w:tcPr>
            <w:tcW w:w="1854" w:type="dxa"/>
            <w:tcBorders>
              <w:tl2br w:val="nil"/>
              <w:tr2bl w:val="nil"/>
            </w:tcBorders>
            <w:shd w:val="clear" w:color="auto" w:fill="auto"/>
            <w:noWrap/>
            <w:tcMar>
              <w:top w:w="15" w:type="dxa"/>
              <w:left w:w="15" w:type="dxa"/>
              <w:right w:w="15" w:type="dxa"/>
            </w:tcMar>
            <w:vAlign w:val="top"/>
          </w:tcPr>
          <w:p>
            <w:pPr>
              <w:pStyle w:val="16"/>
              <w:bidi w:val="0"/>
              <w:rPr>
                <w:color w:val="auto"/>
                <w:highlight w:val="none"/>
              </w:rPr>
            </w:pPr>
            <w:r>
              <w:rPr>
                <w:rFonts w:hint="default"/>
                <w:color w:val="auto"/>
                <w:highlight w:val="none"/>
                <w:lang w:val="en-US" w:eastAsia="zh-CN"/>
              </w:rPr>
              <w:t xml:space="preserve">0.209 </w:t>
            </w:r>
          </w:p>
        </w:tc>
        <w:tc>
          <w:tcPr>
            <w:tcW w:w="1902"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99.52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161" w:type="pct"/>
            <w:gridSpan w:val="2"/>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小计</w:t>
            </w:r>
          </w:p>
        </w:tc>
        <w:tc>
          <w:tcPr>
            <w:tcW w:w="1104" w:type="dxa"/>
            <w:tcBorders>
              <w:tl2br w:val="nil"/>
              <w:tr2bl w:val="nil"/>
            </w:tcBorders>
            <w:shd w:val="clear" w:color="auto" w:fill="auto"/>
            <w:tcMar>
              <w:top w:w="15" w:type="dxa"/>
              <w:left w:w="15" w:type="dxa"/>
              <w:right w:w="15" w:type="dxa"/>
            </w:tcMar>
            <w:vAlign w:val="center"/>
          </w:tcPr>
          <w:p>
            <w:pPr>
              <w:pStyle w:val="16"/>
              <w:bidi w:val="0"/>
              <w:rPr>
                <w:rFonts w:hint="eastAsia"/>
                <w:color w:val="auto"/>
                <w:highlight w:val="none"/>
                <w:lang w:eastAsia="zh-CN"/>
              </w:rPr>
            </w:pPr>
            <w:r>
              <w:rPr>
                <w:rFonts w:hint="default"/>
                <w:color w:val="auto"/>
                <w:highlight w:val="none"/>
                <w:lang w:val="en-US" w:eastAsia="zh-CN"/>
              </w:rPr>
              <w:t>4.45</w:t>
            </w:r>
          </w:p>
        </w:tc>
        <w:tc>
          <w:tcPr>
            <w:tcW w:w="1745"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0.310 </w:t>
            </w:r>
          </w:p>
        </w:tc>
        <w:tc>
          <w:tcPr>
            <w:tcW w:w="1854"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0.309 </w:t>
            </w:r>
          </w:p>
        </w:tc>
        <w:tc>
          <w:tcPr>
            <w:tcW w:w="1902"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99.61</w:t>
            </w:r>
          </w:p>
        </w:tc>
      </w:tr>
    </w:tbl>
    <w:p>
      <w:pPr>
        <w:pStyle w:val="4"/>
        <w:rPr>
          <w:rFonts w:cs="Times New Roman"/>
          <w:color w:val="auto"/>
          <w:highlight w:val="none"/>
        </w:rPr>
      </w:pPr>
      <w:r>
        <w:rPr>
          <w:rFonts w:cs="Times New Roman"/>
          <w:color w:val="auto"/>
          <w:highlight w:val="none"/>
        </w:rPr>
        <w:t>林草覆盖率</w:t>
      </w:r>
    </w:p>
    <w:p>
      <w:pPr>
        <w:ind w:firstLine="480"/>
        <w:rPr>
          <w:rFonts w:cs="Times New Roman"/>
          <w:color w:val="auto"/>
          <w:highlight w:val="none"/>
        </w:rPr>
      </w:pPr>
      <w:r>
        <w:rPr>
          <w:rFonts w:cs="Times New Roman"/>
          <w:color w:val="auto"/>
          <w:highlight w:val="none"/>
        </w:rPr>
        <w:t>根据主体监理资料、</w:t>
      </w:r>
      <w:r>
        <w:rPr>
          <w:rFonts w:hint="eastAsia" w:cs="Times New Roman"/>
          <w:color w:val="auto"/>
          <w:highlight w:val="none"/>
        </w:rPr>
        <w:t>监测资料、</w:t>
      </w:r>
      <w:r>
        <w:rPr>
          <w:rFonts w:cs="Times New Roman"/>
          <w:color w:val="auto"/>
          <w:highlight w:val="none"/>
        </w:rPr>
        <w:t>竣工资料及结合现场调查，项目建设区面积</w:t>
      </w:r>
      <w:r>
        <w:rPr>
          <w:rFonts w:hint="eastAsia" w:cs="Times New Roman"/>
          <w:color w:val="auto"/>
          <w:highlight w:val="none"/>
          <w:lang w:eastAsia="zh-CN"/>
        </w:rPr>
        <w:t>4.45</w:t>
      </w:r>
      <w:r>
        <w:rPr>
          <w:rFonts w:cs="Times New Roman"/>
          <w:color w:val="auto"/>
          <w:highlight w:val="none"/>
        </w:rPr>
        <w:t>hm</w:t>
      </w:r>
      <w:r>
        <w:rPr>
          <w:rFonts w:hint="eastAsia" w:cs="Times New Roman"/>
          <w:color w:val="auto"/>
          <w:highlight w:val="none"/>
          <w:vertAlign w:val="superscript"/>
        </w:rPr>
        <w:t>2</w:t>
      </w:r>
      <w:r>
        <w:rPr>
          <w:rFonts w:cs="Times New Roman"/>
          <w:color w:val="auto"/>
          <w:highlight w:val="none"/>
        </w:rPr>
        <w:t>。至</w:t>
      </w:r>
      <w:r>
        <w:rPr>
          <w:rFonts w:hint="eastAsia" w:cs="Times New Roman"/>
          <w:color w:val="auto"/>
          <w:highlight w:val="none"/>
        </w:rPr>
        <w:t>植物措施施工</w:t>
      </w:r>
      <w:r>
        <w:rPr>
          <w:rFonts w:cs="Times New Roman"/>
          <w:color w:val="auto"/>
          <w:highlight w:val="none"/>
        </w:rPr>
        <w:t>结束时，植被恢复面积为</w:t>
      </w:r>
      <w:r>
        <w:rPr>
          <w:rFonts w:hint="eastAsia" w:cs="Times New Roman"/>
          <w:color w:val="auto"/>
          <w:highlight w:val="none"/>
          <w:lang w:eastAsia="zh-CN"/>
        </w:rPr>
        <w:t>0.309</w:t>
      </w:r>
      <w:r>
        <w:rPr>
          <w:rFonts w:hint="eastAsia" w:cs="Times New Roman"/>
          <w:color w:val="auto"/>
          <w:highlight w:val="none"/>
        </w:rPr>
        <w:t xml:space="preserve"> </w:t>
      </w:r>
      <w:r>
        <w:rPr>
          <w:rFonts w:cs="Times New Roman"/>
          <w:color w:val="auto"/>
          <w:highlight w:val="none"/>
        </w:rPr>
        <w:t>hm</w:t>
      </w:r>
      <w:r>
        <w:rPr>
          <w:rFonts w:cs="Times New Roman"/>
          <w:color w:val="auto"/>
          <w:highlight w:val="none"/>
          <w:vertAlign w:val="superscript"/>
        </w:rPr>
        <w:t>2</w:t>
      </w:r>
      <w:r>
        <w:rPr>
          <w:rFonts w:cs="Times New Roman"/>
          <w:color w:val="auto"/>
          <w:highlight w:val="none"/>
        </w:rPr>
        <w:t>，林草植被覆盖率为</w:t>
      </w:r>
      <w:r>
        <w:rPr>
          <w:rFonts w:hint="eastAsia" w:cs="Times New Roman"/>
          <w:color w:val="auto"/>
          <w:highlight w:val="none"/>
          <w:lang w:eastAsia="zh-CN"/>
        </w:rPr>
        <w:t>7.0</w:t>
      </w:r>
      <w:r>
        <w:rPr>
          <w:rFonts w:cs="Times New Roman"/>
          <w:color w:val="auto"/>
          <w:highlight w:val="none"/>
        </w:rPr>
        <w:t>%，达到方案确定的达到了方案设计目标值</w:t>
      </w:r>
      <w:r>
        <w:rPr>
          <w:rFonts w:hint="eastAsia" w:cs="Times New Roman"/>
          <w:color w:val="auto"/>
          <w:highlight w:val="none"/>
        </w:rPr>
        <w:t>7</w:t>
      </w:r>
      <w:r>
        <w:rPr>
          <w:rFonts w:cs="Times New Roman"/>
          <w:color w:val="auto"/>
          <w:highlight w:val="none"/>
        </w:rPr>
        <w:t>%。</w:t>
      </w:r>
    </w:p>
    <w:p>
      <w:pPr>
        <w:pStyle w:val="15"/>
        <w:rPr>
          <w:rFonts w:cs="Times New Roman"/>
          <w:color w:val="auto"/>
          <w:highlight w:val="none"/>
        </w:rPr>
      </w:pPr>
      <w:r>
        <w:rPr>
          <w:rFonts w:cs="Times New Roman"/>
          <w:color w:val="auto"/>
          <w:highlight w:val="none"/>
        </w:rPr>
        <w:t>表5.2-7 各分区林草植被恢复率一览表（单位：hm</w:t>
      </w:r>
      <w:r>
        <w:rPr>
          <w:rFonts w:cs="Times New Roman"/>
          <w:color w:val="auto"/>
          <w:highlight w:val="none"/>
          <w:vertAlign w:val="superscript"/>
        </w:rPr>
        <w:t>2</w:t>
      </w:r>
      <w:r>
        <w:rPr>
          <w:rFonts w:cs="Times New Roman"/>
          <w:color w:val="auto"/>
          <w:highlight w:val="none"/>
        </w:rPr>
        <w:t>）</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815"/>
        <w:gridCol w:w="1830"/>
        <w:gridCol w:w="1637"/>
        <w:gridCol w:w="1997"/>
        <w:gridCol w:w="181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序号</w:t>
            </w:r>
          </w:p>
        </w:tc>
        <w:tc>
          <w:tcPr>
            <w:tcW w:w="99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防治分区</w:t>
            </w:r>
          </w:p>
        </w:tc>
        <w:tc>
          <w:tcPr>
            <w:tcW w:w="901"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项目建设区</w:t>
            </w:r>
          </w:p>
        </w:tc>
        <w:tc>
          <w:tcPr>
            <w:tcW w:w="109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已绿化或自然恢复面积</w:t>
            </w:r>
          </w:p>
        </w:tc>
        <w:tc>
          <w:tcPr>
            <w:tcW w:w="1000"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植被覆盖度(%)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1</w:t>
            </w:r>
          </w:p>
        </w:tc>
        <w:tc>
          <w:tcPr>
            <w:tcW w:w="99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建构筑物防治区</w:t>
            </w:r>
          </w:p>
        </w:tc>
        <w:tc>
          <w:tcPr>
            <w:tcW w:w="1637" w:type="dxa"/>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lang w:eastAsia="zh-CN"/>
              </w:rPr>
            </w:pPr>
            <w:r>
              <w:rPr>
                <w:rFonts w:hint="default"/>
                <w:color w:val="auto"/>
                <w:highlight w:val="none"/>
                <w:lang w:val="en-US" w:eastAsia="zh-CN"/>
              </w:rPr>
              <w:t>2.77</w:t>
            </w:r>
          </w:p>
        </w:tc>
        <w:tc>
          <w:tcPr>
            <w:tcW w:w="1997"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0</w:t>
            </w:r>
          </w:p>
        </w:tc>
        <w:tc>
          <w:tcPr>
            <w:tcW w:w="181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0.00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2</w:t>
            </w:r>
          </w:p>
        </w:tc>
        <w:tc>
          <w:tcPr>
            <w:tcW w:w="99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道路及硬化工程防治区</w:t>
            </w:r>
          </w:p>
        </w:tc>
        <w:tc>
          <w:tcPr>
            <w:tcW w:w="1637" w:type="dxa"/>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1.47</w:t>
            </w:r>
          </w:p>
        </w:tc>
        <w:tc>
          <w:tcPr>
            <w:tcW w:w="1997"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0.1</w:t>
            </w:r>
          </w:p>
        </w:tc>
        <w:tc>
          <w:tcPr>
            <w:tcW w:w="181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6.80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9" w:type="pct"/>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3</w:t>
            </w:r>
          </w:p>
        </w:tc>
        <w:tc>
          <w:tcPr>
            <w:tcW w:w="999" w:type="pct"/>
            <w:tcBorders>
              <w:tl2br w:val="nil"/>
              <w:tr2bl w:val="nil"/>
            </w:tcBorders>
            <w:shd w:val="clear" w:color="auto" w:fill="auto"/>
            <w:noWrap/>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eastAsia="zh-CN"/>
              </w:rPr>
              <w:t>绿化防治区</w:t>
            </w:r>
          </w:p>
        </w:tc>
        <w:tc>
          <w:tcPr>
            <w:tcW w:w="1637" w:type="dxa"/>
            <w:tcBorders>
              <w:tl2br w:val="nil"/>
              <w:tr2bl w:val="nil"/>
            </w:tcBorders>
            <w:shd w:val="clear" w:color="auto" w:fill="auto"/>
            <w:noWrap/>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0.21</w:t>
            </w:r>
          </w:p>
        </w:tc>
        <w:tc>
          <w:tcPr>
            <w:tcW w:w="1997"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0.209 </w:t>
            </w:r>
          </w:p>
        </w:tc>
        <w:tc>
          <w:tcPr>
            <w:tcW w:w="181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99.52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999" w:type="pct"/>
            <w:gridSpan w:val="2"/>
            <w:tcBorders>
              <w:tl2br w:val="nil"/>
              <w:tr2bl w:val="nil"/>
            </w:tcBorders>
            <w:shd w:val="clear" w:color="auto" w:fill="auto"/>
            <w:noWrap/>
            <w:tcMar>
              <w:top w:w="15" w:type="dxa"/>
              <w:left w:w="15" w:type="dxa"/>
              <w:right w:w="15" w:type="dxa"/>
            </w:tcMar>
            <w:vAlign w:val="center"/>
          </w:tcPr>
          <w:p>
            <w:pPr>
              <w:pStyle w:val="16"/>
              <w:rPr>
                <w:color w:val="auto"/>
                <w:highlight w:val="none"/>
              </w:rPr>
            </w:pPr>
            <w:r>
              <w:rPr>
                <w:color w:val="auto"/>
                <w:highlight w:val="none"/>
              </w:rPr>
              <w:t>小计</w:t>
            </w:r>
          </w:p>
        </w:tc>
        <w:tc>
          <w:tcPr>
            <w:tcW w:w="1637" w:type="dxa"/>
            <w:tcBorders>
              <w:tl2br w:val="nil"/>
              <w:tr2bl w:val="nil"/>
            </w:tcBorders>
            <w:shd w:val="clear" w:color="auto" w:fill="auto"/>
            <w:noWrap/>
            <w:tcMar>
              <w:top w:w="15" w:type="dxa"/>
              <w:left w:w="15" w:type="dxa"/>
              <w:right w:w="15" w:type="dxa"/>
            </w:tcMar>
            <w:vAlign w:val="center"/>
          </w:tcPr>
          <w:p>
            <w:pPr>
              <w:pStyle w:val="16"/>
              <w:bidi w:val="0"/>
              <w:rPr>
                <w:rFonts w:hint="eastAsia"/>
                <w:color w:val="auto"/>
                <w:highlight w:val="none"/>
                <w:lang w:eastAsia="zh-CN"/>
              </w:rPr>
            </w:pPr>
            <w:r>
              <w:rPr>
                <w:rFonts w:hint="default"/>
                <w:color w:val="auto"/>
                <w:highlight w:val="none"/>
                <w:lang w:val="en-US" w:eastAsia="zh-CN"/>
              </w:rPr>
              <w:t>4.45</w:t>
            </w:r>
          </w:p>
        </w:tc>
        <w:tc>
          <w:tcPr>
            <w:tcW w:w="1997"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0.309 </w:t>
            </w:r>
          </w:p>
        </w:tc>
        <w:tc>
          <w:tcPr>
            <w:tcW w:w="1818" w:type="dxa"/>
            <w:tcBorders>
              <w:tl2br w:val="nil"/>
              <w:tr2bl w:val="nil"/>
            </w:tcBorders>
            <w:shd w:val="clear" w:color="auto" w:fill="auto"/>
            <w:tcMar>
              <w:top w:w="15" w:type="dxa"/>
              <w:left w:w="15" w:type="dxa"/>
              <w:right w:w="15" w:type="dxa"/>
            </w:tcMar>
            <w:vAlign w:val="center"/>
          </w:tcPr>
          <w:p>
            <w:pPr>
              <w:pStyle w:val="16"/>
              <w:bidi w:val="0"/>
              <w:rPr>
                <w:rFonts w:hint="default"/>
                <w:color w:val="auto"/>
                <w:highlight w:val="none"/>
                <w:lang w:val="en-US"/>
              </w:rPr>
            </w:pPr>
            <w:r>
              <w:rPr>
                <w:rFonts w:hint="eastAsia"/>
                <w:color w:val="auto"/>
                <w:highlight w:val="none"/>
                <w:lang w:val="en-US" w:eastAsia="zh-CN"/>
              </w:rPr>
              <w:t>7.0</w:t>
            </w:r>
          </w:p>
        </w:tc>
      </w:tr>
    </w:tbl>
    <w:p>
      <w:pPr>
        <w:pStyle w:val="4"/>
        <w:rPr>
          <w:rFonts w:cs="Times New Roman"/>
          <w:color w:val="auto"/>
          <w:highlight w:val="none"/>
        </w:rPr>
      </w:pPr>
      <w:r>
        <w:rPr>
          <w:rFonts w:cs="Times New Roman"/>
          <w:color w:val="auto"/>
          <w:highlight w:val="none"/>
        </w:rPr>
        <w:t>工程水土流失防治目标完成情况</w:t>
      </w:r>
    </w:p>
    <w:p>
      <w:pPr>
        <w:pStyle w:val="15"/>
        <w:rPr>
          <w:color w:val="auto"/>
          <w:highlight w:val="none"/>
        </w:rPr>
      </w:pPr>
      <w:r>
        <w:rPr>
          <w:color w:val="auto"/>
          <w:highlight w:val="none"/>
        </w:rPr>
        <w:t>表5.2-</w:t>
      </w:r>
      <w:r>
        <w:rPr>
          <w:rFonts w:hint="eastAsia"/>
          <w:color w:val="auto"/>
          <w:highlight w:val="none"/>
        </w:rPr>
        <w:t>8</w:t>
      </w:r>
      <w:r>
        <w:rPr>
          <w:color w:val="auto"/>
          <w:highlight w:val="none"/>
        </w:rPr>
        <w:t xml:space="preserve"> 工程水土流失防治目标完成情况</w:t>
      </w:r>
    </w:p>
    <w:tbl>
      <w:tblPr>
        <w:tblStyle w:val="11"/>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216"/>
        <w:gridCol w:w="1300"/>
        <w:gridCol w:w="1218"/>
        <w:gridCol w:w="1366"/>
        <w:gridCol w:w="1071"/>
        <w:gridCol w:w="1708"/>
        <w:gridCol w:w="121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66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水土流失防治</w:t>
            </w:r>
          </w:p>
        </w:tc>
        <w:tc>
          <w:tcPr>
            <w:tcW w:w="71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扰动土地整治率</w:t>
            </w:r>
            <w:r>
              <w:rPr>
                <w:color w:val="auto"/>
                <w:highlight w:val="none"/>
              </w:rPr>
              <w:t>（%</w:t>
            </w:r>
            <w:r>
              <w:rPr>
                <w:rFonts w:hint="eastAsia"/>
                <w:color w:val="auto"/>
                <w:highlight w:val="none"/>
              </w:rPr>
              <w:t>）</w:t>
            </w:r>
          </w:p>
        </w:tc>
        <w:tc>
          <w:tcPr>
            <w:tcW w:w="66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水土流总失治理度（%）</w:t>
            </w:r>
          </w:p>
        </w:tc>
        <w:tc>
          <w:tcPr>
            <w:tcW w:w="750"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土壤流失控制比</w:t>
            </w:r>
          </w:p>
        </w:tc>
        <w:tc>
          <w:tcPr>
            <w:tcW w:w="58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拦渣率（</w:t>
            </w:r>
            <w:r>
              <w:rPr>
                <w:color w:val="auto"/>
                <w:highlight w:val="none"/>
              </w:rPr>
              <w:t>%</w:t>
            </w:r>
            <w:r>
              <w:rPr>
                <w:rFonts w:hint="eastAsia"/>
                <w:color w:val="auto"/>
                <w:highlight w:val="none"/>
              </w:rPr>
              <w:t>）</w:t>
            </w:r>
          </w:p>
        </w:tc>
        <w:tc>
          <w:tcPr>
            <w:tcW w:w="93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植被恢复率（%）</w:t>
            </w:r>
          </w:p>
        </w:tc>
        <w:tc>
          <w:tcPr>
            <w:tcW w:w="66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林草覆盖率（%</w:t>
            </w:r>
            <w:r>
              <w:rPr>
                <w:rFonts w:hint="eastAsia"/>
                <w:color w:val="auto"/>
                <w:highlight w:val="none"/>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66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w:t>
            </w:r>
            <w:r>
              <w:rPr>
                <w:rFonts w:hint="eastAsia"/>
                <w:color w:val="auto"/>
                <w:highlight w:val="none"/>
              </w:rPr>
              <w:t>参数代号</w:t>
            </w:r>
            <w:r>
              <w:rPr>
                <w:color w:val="auto"/>
                <w:highlight w:val="none"/>
              </w:rPr>
              <w:t>)</w:t>
            </w:r>
          </w:p>
        </w:tc>
        <w:tc>
          <w:tcPr>
            <w:tcW w:w="71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A</w:t>
            </w:r>
          </w:p>
        </w:tc>
        <w:tc>
          <w:tcPr>
            <w:tcW w:w="66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B</w:t>
            </w:r>
          </w:p>
        </w:tc>
        <w:tc>
          <w:tcPr>
            <w:tcW w:w="750"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C</w:t>
            </w:r>
          </w:p>
        </w:tc>
        <w:tc>
          <w:tcPr>
            <w:tcW w:w="58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D</w:t>
            </w:r>
          </w:p>
        </w:tc>
        <w:tc>
          <w:tcPr>
            <w:tcW w:w="93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E</w:t>
            </w:r>
          </w:p>
        </w:tc>
        <w:tc>
          <w:tcPr>
            <w:tcW w:w="66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F</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66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方案目标值</w:t>
            </w:r>
          </w:p>
        </w:tc>
        <w:tc>
          <w:tcPr>
            <w:tcW w:w="71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95</w:t>
            </w:r>
          </w:p>
        </w:tc>
        <w:tc>
          <w:tcPr>
            <w:tcW w:w="66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97</w:t>
            </w:r>
          </w:p>
        </w:tc>
        <w:tc>
          <w:tcPr>
            <w:tcW w:w="750"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1</w:t>
            </w:r>
          </w:p>
        </w:tc>
        <w:tc>
          <w:tcPr>
            <w:tcW w:w="58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95</w:t>
            </w:r>
          </w:p>
        </w:tc>
        <w:tc>
          <w:tcPr>
            <w:tcW w:w="93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99</w:t>
            </w:r>
          </w:p>
        </w:tc>
        <w:tc>
          <w:tcPr>
            <w:tcW w:w="66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27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66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监测值</w:t>
            </w:r>
          </w:p>
        </w:tc>
        <w:tc>
          <w:tcPr>
            <w:tcW w:w="1300"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99.97 </w:t>
            </w:r>
          </w:p>
        </w:tc>
        <w:tc>
          <w:tcPr>
            <w:tcW w:w="121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99.63 </w:t>
            </w:r>
          </w:p>
        </w:tc>
        <w:tc>
          <w:tcPr>
            <w:tcW w:w="1366"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1.23 </w:t>
            </w:r>
          </w:p>
        </w:tc>
        <w:tc>
          <w:tcPr>
            <w:tcW w:w="1071"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99.84 </w:t>
            </w:r>
          </w:p>
        </w:tc>
        <w:tc>
          <w:tcPr>
            <w:tcW w:w="170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99.61 </w:t>
            </w:r>
          </w:p>
        </w:tc>
        <w:tc>
          <w:tcPr>
            <w:tcW w:w="121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7.00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66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验收值</w:t>
            </w:r>
          </w:p>
        </w:tc>
        <w:tc>
          <w:tcPr>
            <w:tcW w:w="1300"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99.97 </w:t>
            </w:r>
          </w:p>
        </w:tc>
        <w:tc>
          <w:tcPr>
            <w:tcW w:w="121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99.63 </w:t>
            </w:r>
          </w:p>
        </w:tc>
        <w:tc>
          <w:tcPr>
            <w:tcW w:w="1366"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1.23 </w:t>
            </w:r>
          </w:p>
        </w:tc>
        <w:tc>
          <w:tcPr>
            <w:tcW w:w="1071"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99.84 </w:t>
            </w:r>
          </w:p>
        </w:tc>
        <w:tc>
          <w:tcPr>
            <w:tcW w:w="170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99.61 </w:t>
            </w:r>
          </w:p>
        </w:tc>
        <w:tc>
          <w:tcPr>
            <w:tcW w:w="1218" w:type="dxa"/>
            <w:tcBorders>
              <w:tl2br w:val="nil"/>
              <w:tr2bl w:val="nil"/>
            </w:tcBorders>
            <w:shd w:val="clear" w:color="auto" w:fill="auto"/>
            <w:tcMar>
              <w:top w:w="15" w:type="dxa"/>
              <w:left w:w="15" w:type="dxa"/>
              <w:right w:w="15" w:type="dxa"/>
            </w:tcMar>
            <w:vAlign w:val="center"/>
          </w:tcPr>
          <w:p>
            <w:pPr>
              <w:pStyle w:val="16"/>
              <w:bidi w:val="0"/>
              <w:rPr>
                <w:color w:val="auto"/>
                <w:highlight w:val="none"/>
              </w:rPr>
            </w:pPr>
            <w:r>
              <w:rPr>
                <w:rFonts w:hint="default"/>
                <w:color w:val="auto"/>
                <w:highlight w:val="none"/>
                <w:lang w:val="en-US" w:eastAsia="zh-CN"/>
              </w:rPr>
              <w:t xml:space="preserve">7.00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66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达标情况</w:t>
            </w:r>
          </w:p>
        </w:tc>
        <w:tc>
          <w:tcPr>
            <w:tcW w:w="71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达标</w:t>
            </w:r>
          </w:p>
        </w:tc>
        <w:tc>
          <w:tcPr>
            <w:tcW w:w="669"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达标</w:t>
            </w:r>
          </w:p>
        </w:tc>
        <w:tc>
          <w:tcPr>
            <w:tcW w:w="750"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达标</w:t>
            </w:r>
          </w:p>
        </w:tc>
        <w:tc>
          <w:tcPr>
            <w:tcW w:w="58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达标</w:t>
            </w:r>
          </w:p>
        </w:tc>
        <w:tc>
          <w:tcPr>
            <w:tcW w:w="938"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达标</w:t>
            </w:r>
          </w:p>
        </w:tc>
        <w:tc>
          <w:tcPr>
            <w:tcW w:w="669" w:type="pct"/>
            <w:tcBorders>
              <w:tl2br w:val="nil"/>
              <w:tr2bl w:val="nil"/>
            </w:tcBorders>
            <w:shd w:val="clear" w:color="auto" w:fill="auto"/>
            <w:tcMar>
              <w:top w:w="15" w:type="dxa"/>
              <w:left w:w="15" w:type="dxa"/>
              <w:right w:w="15" w:type="dxa"/>
            </w:tcMar>
            <w:vAlign w:val="center"/>
          </w:tcPr>
          <w:p>
            <w:pPr>
              <w:pStyle w:val="16"/>
              <w:rPr>
                <w:rFonts w:hint="eastAsia" w:eastAsia="仿宋"/>
                <w:color w:val="auto"/>
                <w:highlight w:val="none"/>
                <w:lang w:eastAsia="zh-CN"/>
              </w:rPr>
            </w:pPr>
            <w:r>
              <w:rPr>
                <w:rFonts w:hint="eastAsia"/>
                <w:color w:val="auto"/>
                <w:highlight w:val="none"/>
                <w:lang w:val="en-US" w:eastAsia="zh-CN"/>
              </w:rPr>
              <w:t>/</w:t>
            </w:r>
          </w:p>
        </w:tc>
      </w:tr>
    </w:tbl>
    <w:p>
      <w:pPr>
        <w:pStyle w:val="3"/>
        <w:rPr>
          <w:rFonts w:cs="Times New Roman"/>
          <w:color w:val="auto"/>
          <w:highlight w:val="none"/>
        </w:rPr>
      </w:pPr>
      <w:bookmarkStart w:id="27" w:name="_Toc31444"/>
      <w:r>
        <w:rPr>
          <w:rFonts w:cs="Times New Roman"/>
          <w:color w:val="auto"/>
          <w:highlight w:val="none"/>
        </w:rPr>
        <w:t>公众满意度调查</w:t>
      </w:r>
      <w:bookmarkEnd w:id="27"/>
    </w:p>
    <w:p>
      <w:pPr>
        <w:pStyle w:val="4"/>
        <w:rPr>
          <w:color w:val="auto"/>
          <w:highlight w:val="none"/>
        </w:rPr>
      </w:pPr>
      <w:bookmarkStart w:id="28" w:name="_Toc12250"/>
      <w:r>
        <w:rPr>
          <w:rFonts w:hint="eastAsia"/>
          <w:color w:val="auto"/>
          <w:highlight w:val="none"/>
        </w:rPr>
        <w:t>调查目的</w:t>
      </w:r>
      <w:bookmarkEnd w:id="28"/>
    </w:p>
    <w:p>
      <w:pPr>
        <w:numPr>
          <w:ilvl w:val="0"/>
          <w:numId w:val="21"/>
        </w:numPr>
        <w:ind w:firstLine="480"/>
        <w:rPr>
          <w:color w:val="auto"/>
          <w:highlight w:val="none"/>
        </w:rPr>
      </w:pPr>
      <w:r>
        <w:rPr>
          <w:rFonts w:hint="eastAsia"/>
          <w:color w:val="auto"/>
          <w:highlight w:val="none"/>
        </w:rPr>
        <w:t>定性了解工程建设期水土保持工作开展情况和施工过程中水土流失防治是否存在问题与不足。</w:t>
      </w:r>
    </w:p>
    <w:p>
      <w:pPr>
        <w:numPr>
          <w:ilvl w:val="0"/>
          <w:numId w:val="21"/>
        </w:numPr>
        <w:ind w:firstLine="480"/>
        <w:rPr>
          <w:color w:val="auto"/>
          <w:highlight w:val="none"/>
        </w:rPr>
      </w:pPr>
      <w:r>
        <w:rPr>
          <w:rFonts w:hint="eastAsia"/>
          <w:color w:val="auto"/>
          <w:highlight w:val="none"/>
        </w:rPr>
        <w:t>了解公众对工程运行期关系的热点问题，为改进和完善已有的水土保持设施提出完善措施。</w:t>
      </w:r>
    </w:p>
    <w:p>
      <w:pPr>
        <w:pStyle w:val="4"/>
        <w:rPr>
          <w:color w:val="auto"/>
          <w:highlight w:val="none"/>
        </w:rPr>
      </w:pPr>
      <w:bookmarkStart w:id="29" w:name="_Toc24937"/>
      <w:r>
        <w:rPr>
          <w:rFonts w:hint="eastAsia"/>
          <w:color w:val="auto"/>
          <w:highlight w:val="none"/>
        </w:rPr>
        <w:t>调查方法和内容</w:t>
      </w:r>
      <w:bookmarkEnd w:id="29"/>
    </w:p>
    <w:p>
      <w:pPr>
        <w:ind w:firstLine="480"/>
        <w:rPr>
          <w:color w:val="auto"/>
          <w:highlight w:val="none"/>
        </w:rPr>
      </w:pPr>
      <w:r>
        <w:rPr>
          <w:rFonts w:hint="eastAsia"/>
          <w:color w:val="auto"/>
          <w:highlight w:val="none"/>
        </w:rPr>
        <w:t>根据《开发建设项目水土保持设施验收技术规程》（GB/T 22490-2008）要求，工程水土保持设施竣工验收通过向工程周边公众问题调查问卷的方式，收集公众对拟定验收工程水土保持方面的建议和意见，见表5.3-1。</w:t>
      </w:r>
    </w:p>
    <w:p>
      <w:pPr>
        <w:pStyle w:val="15"/>
        <w:rPr>
          <w:rFonts w:hint="eastAsia"/>
          <w:color w:val="auto"/>
          <w:highlight w:val="none"/>
        </w:rPr>
      </w:pPr>
    </w:p>
    <w:p>
      <w:pPr>
        <w:pStyle w:val="15"/>
        <w:rPr>
          <w:color w:val="auto"/>
          <w:highlight w:val="none"/>
        </w:rPr>
      </w:pPr>
      <w:r>
        <w:rPr>
          <w:rFonts w:hint="eastAsia"/>
          <w:color w:val="auto"/>
          <w:highlight w:val="none"/>
        </w:rPr>
        <w:t>表5.3-1 水土保持公众参与调查情况表</w:t>
      </w:r>
    </w:p>
    <w:tbl>
      <w:tblPr>
        <w:tblStyle w:val="12"/>
        <w:tblW w:w="928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tcPr>
          <w:p>
            <w:pPr>
              <w:pStyle w:val="16"/>
              <w:spacing w:line="360" w:lineRule="auto"/>
              <w:ind w:firstLine="400" w:firstLineChars="200"/>
              <w:jc w:val="left"/>
              <w:rPr>
                <w:color w:val="auto"/>
                <w:sz w:val="20"/>
                <w:szCs w:val="24"/>
                <w:highlight w:val="none"/>
              </w:rPr>
            </w:pPr>
            <w:r>
              <w:rPr>
                <w:rFonts w:hint="eastAsia"/>
                <w:color w:val="auto"/>
                <w:sz w:val="20"/>
                <w:szCs w:val="24"/>
                <w:highlight w:val="none"/>
              </w:rPr>
              <w:t>工程概况：</w:t>
            </w:r>
          </w:p>
          <w:p>
            <w:pPr>
              <w:pStyle w:val="16"/>
              <w:spacing w:line="360" w:lineRule="auto"/>
              <w:ind w:firstLine="400" w:firstLineChars="200"/>
              <w:jc w:val="left"/>
              <w:rPr>
                <w:rFonts w:hint="eastAsia"/>
                <w:color w:val="auto"/>
                <w:sz w:val="20"/>
                <w:szCs w:val="24"/>
                <w:highlight w:val="none"/>
                <w:lang w:eastAsia="zh-CN"/>
              </w:rPr>
            </w:pPr>
            <w:r>
              <w:rPr>
                <w:rFonts w:hint="eastAsia"/>
                <w:color w:val="auto"/>
                <w:sz w:val="20"/>
                <w:szCs w:val="24"/>
                <w:highlight w:val="none"/>
                <w:lang w:eastAsia="zh-CN"/>
              </w:rPr>
              <w:t>上海千缘汽车车身模具有限公司关于汽车零部件制造的项目位于天府新区新兴工业园，场地地理位置优越，交通方便。本项目总占地面积4.45hm</w:t>
            </w:r>
            <w:r>
              <w:rPr>
                <w:rFonts w:hint="eastAsia"/>
                <w:color w:val="auto"/>
                <w:sz w:val="20"/>
                <w:szCs w:val="24"/>
                <w:highlight w:val="none"/>
                <w:vertAlign w:val="superscript"/>
                <w:lang w:eastAsia="zh-CN"/>
              </w:rPr>
              <w:t>2</w:t>
            </w:r>
            <w:r>
              <w:rPr>
                <w:rFonts w:hint="eastAsia"/>
                <w:color w:val="auto"/>
                <w:sz w:val="20"/>
                <w:szCs w:val="24"/>
                <w:highlight w:val="none"/>
                <w:lang w:eastAsia="zh-CN"/>
              </w:rPr>
              <w:t>，均为永久占地。占地类型为耕地、林地、园地、草地。临时工程包括施工生产生活区及表土堆场，占地共计0.08hm</w:t>
            </w:r>
            <w:r>
              <w:rPr>
                <w:rFonts w:hint="eastAsia"/>
                <w:color w:val="auto"/>
                <w:sz w:val="20"/>
                <w:szCs w:val="24"/>
                <w:highlight w:val="none"/>
                <w:vertAlign w:val="superscript"/>
                <w:lang w:eastAsia="zh-CN"/>
              </w:rPr>
              <w:t>2</w:t>
            </w:r>
            <w:r>
              <w:rPr>
                <w:rFonts w:hint="eastAsia"/>
                <w:color w:val="auto"/>
                <w:sz w:val="20"/>
                <w:szCs w:val="24"/>
                <w:highlight w:val="none"/>
                <w:lang w:eastAsia="zh-CN"/>
              </w:rPr>
              <w:t>，位于项目永久占地范围内，面积不重复计列。</w:t>
            </w:r>
          </w:p>
          <w:p>
            <w:pPr>
              <w:pStyle w:val="16"/>
              <w:spacing w:line="360" w:lineRule="auto"/>
              <w:ind w:firstLine="400" w:firstLineChars="200"/>
              <w:jc w:val="left"/>
              <w:rPr>
                <w:rFonts w:hint="eastAsia"/>
                <w:color w:val="auto"/>
                <w:sz w:val="20"/>
                <w:szCs w:val="24"/>
                <w:highlight w:val="none"/>
                <w:lang w:eastAsia="zh-CN"/>
              </w:rPr>
            </w:pPr>
            <w:r>
              <w:rPr>
                <w:rFonts w:hint="eastAsia"/>
                <w:color w:val="auto"/>
                <w:sz w:val="20"/>
                <w:szCs w:val="24"/>
                <w:highlight w:val="none"/>
                <w:lang w:eastAsia="zh-CN"/>
              </w:rPr>
              <w:t>本项目建设共开挖土石方2.89万m</w:t>
            </w:r>
            <w:r>
              <w:rPr>
                <w:rFonts w:hint="eastAsia"/>
                <w:color w:val="auto"/>
                <w:sz w:val="20"/>
                <w:szCs w:val="24"/>
                <w:highlight w:val="none"/>
                <w:vertAlign w:val="superscript"/>
                <w:lang w:eastAsia="zh-CN"/>
              </w:rPr>
              <w:t>3</w:t>
            </w:r>
            <w:r>
              <w:rPr>
                <w:rFonts w:hint="eastAsia"/>
                <w:color w:val="auto"/>
                <w:sz w:val="20"/>
                <w:szCs w:val="24"/>
                <w:highlight w:val="none"/>
                <w:lang w:eastAsia="zh-CN"/>
              </w:rPr>
              <w:t>，填方12.89万m</w:t>
            </w:r>
            <w:r>
              <w:rPr>
                <w:rFonts w:hint="eastAsia"/>
                <w:color w:val="auto"/>
                <w:sz w:val="20"/>
                <w:szCs w:val="24"/>
                <w:highlight w:val="none"/>
                <w:vertAlign w:val="superscript"/>
                <w:lang w:eastAsia="zh-CN"/>
              </w:rPr>
              <w:t>3</w:t>
            </w:r>
            <w:r>
              <w:rPr>
                <w:rFonts w:hint="eastAsia"/>
                <w:color w:val="auto"/>
                <w:sz w:val="20"/>
                <w:szCs w:val="24"/>
                <w:highlight w:val="none"/>
                <w:lang w:eastAsia="zh-CN"/>
              </w:rPr>
              <w:t>，无弃方，借方10万m</w:t>
            </w:r>
            <w:r>
              <w:rPr>
                <w:rFonts w:hint="eastAsia"/>
                <w:color w:val="auto"/>
                <w:sz w:val="20"/>
                <w:szCs w:val="24"/>
                <w:highlight w:val="none"/>
                <w:vertAlign w:val="superscript"/>
                <w:lang w:eastAsia="zh-CN"/>
              </w:rPr>
              <w:t>3</w:t>
            </w:r>
            <w:r>
              <w:rPr>
                <w:rFonts w:hint="eastAsia"/>
                <w:color w:val="auto"/>
                <w:sz w:val="20"/>
                <w:szCs w:val="24"/>
                <w:highlight w:val="none"/>
                <w:lang w:eastAsia="zh-CN"/>
              </w:rPr>
              <w:t>，借方由其他建设项目的弃土及园区管委会调入土方进行回填，场地现状良好，无水土流失隐患。</w:t>
            </w:r>
          </w:p>
          <w:p>
            <w:pPr>
              <w:pStyle w:val="16"/>
              <w:spacing w:line="360" w:lineRule="auto"/>
              <w:ind w:firstLine="400" w:firstLineChars="200"/>
              <w:jc w:val="left"/>
              <w:rPr>
                <w:color w:val="auto"/>
                <w:sz w:val="20"/>
                <w:szCs w:val="24"/>
                <w:highlight w:val="none"/>
              </w:rPr>
            </w:pPr>
            <w:r>
              <w:rPr>
                <w:rFonts w:hint="eastAsia"/>
                <w:color w:val="auto"/>
                <w:sz w:val="20"/>
                <w:szCs w:val="24"/>
                <w:highlight w:val="none"/>
                <w:lang w:eastAsia="zh-CN"/>
              </w:rPr>
              <w:t>本项目已于2016年9月开工建设，于2017年9月完工，总工期13个月。项目总投资24000万元，其中土建投资8430.37万元，资金来源为资本金及银行贷款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tcPr>
          <w:p>
            <w:pPr>
              <w:pStyle w:val="16"/>
              <w:spacing w:line="360" w:lineRule="auto"/>
              <w:ind w:firstLine="400" w:firstLineChars="200"/>
              <w:jc w:val="left"/>
              <w:rPr>
                <w:color w:val="auto"/>
                <w:sz w:val="20"/>
                <w:szCs w:val="24"/>
                <w:highlight w:val="none"/>
              </w:rPr>
            </w:pPr>
            <w:r>
              <w:rPr>
                <w:rFonts w:hint="eastAsia"/>
                <w:color w:val="auto"/>
                <w:sz w:val="20"/>
                <w:szCs w:val="24"/>
                <w:highlight w:val="none"/>
              </w:rPr>
              <w:t>调查目的：</w:t>
            </w:r>
          </w:p>
          <w:p>
            <w:pPr>
              <w:pStyle w:val="16"/>
              <w:spacing w:line="360" w:lineRule="auto"/>
              <w:ind w:firstLine="400" w:firstLineChars="200"/>
              <w:jc w:val="left"/>
              <w:rPr>
                <w:color w:val="auto"/>
                <w:sz w:val="20"/>
                <w:szCs w:val="24"/>
                <w:highlight w:val="none"/>
              </w:rPr>
            </w:pPr>
            <w:r>
              <w:rPr>
                <w:rFonts w:hint="eastAsia"/>
                <w:color w:val="auto"/>
                <w:sz w:val="20"/>
                <w:szCs w:val="24"/>
                <w:highlight w:val="none"/>
              </w:rPr>
              <w:t>我国颁布实施的新《汽车产业发展政策</w:t>
            </w:r>
            <w:r>
              <w:rPr>
                <w:rFonts w:hint="eastAsia"/>
                <w:color w:val="auto"/>
                <w:sz w:val="20"/>
                <w:szCs w:val="24"/>
                <w:highlight w:val="none"/>
                <w:lang w:eastAsia="zh-CN"/>
              </w:rPr>
              <w:t>》</w:t>
            </w:r>
            <w:r>
              <w:rPr>
                <w:rFonts w:hint="eastAsia"/>
                <w:color w:val="auto"/>
                <w:sz w:val="20"/>
                <w:szCs w:val="24"/>
                <w:highlight w:val="none"/>
              </w:rPr>
              <w:t>明确提出，将培育以私人消费为主的汽车市场，引导汽车消费者购买和使用低能耗、低污染、小排量、新能源、新动力的汽车，这为汽车产业发展带来了新机遇。随着我国城市化进程加快推进，汽车消费需求将在今后很长段时间保持稳定较快增 长趋势。虽然成都的一些企业具备了一定的零部件开发能力，并在某些领域在国内处于领先地位，但些关键零部件如: 发动机、变速器等仍然依靠国内外其他厂商。成都零部件生产厂商在研发、技术和工艺方面较弱，设备水平较低，难以为中高端汽车形成有效配套。大大降低了天府新区汽车行业整体水平，也是天府新区引入中高端汽车厂商的一个瓶颈。鉴于此，上海千缘汽车车身模具有限公司关于汽车零部件制造的项目(以下简称本项目)尝试与高等学府汽车研发中心合作，引进高端的模具装备工程技术及液压成型新生产工艺、技术，必将使公司的技术水平提升一个大台阶。再加上企业计划每年投入收入的20%作为研发资金，持续研究不断创新，必将成为天府新区汽车配套产业的排头兵，成为天府新区最有实力为高档汽车配套的企业，本项目的建设对加快</w:t>
            </w:r>
            <w:r>
              <w:rPr>
                <w:rFonts w:hint="eastAsia"/>
                <w:color w:val="auto"/>
                <w:sz w:val="20"/>
                <w:szCs w:val="24"/>
                <w:highlight w:val="none"/>
                <w:lang w:val="en-US" w:eastAsia="zh-CN"/>
              </w:rPr>
              <w:t>天府新区</w:t>
            </w:r>
            <w:r>
              <w:rPr>
                <w:rFonts w:hint="eastAsia"/>
                <w:color w:val="auto"/>
                <w:sz w:val="20"/>
                <w:szCs w:val="24"/>
                <w:highlight w:val="none"/>
              </w:rPr>
              <w:t>经济发展，实现产业结构优化升级具有重要的意义，但考虑到工程建设工程中可能会造成一定的水土流失及其危害，为更好全面了解工程建设过程中对周边区域可能造成的影响，充分考虑和尊重公众意见，特请您发表如下意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tcPr>
          <w:p>
            <w:pPr>
              <w:pStyle w:val="16"/>
              <w:spacing w:line="360" w:lineRule="auto"/>
              <w:ind w:firstLine="400" w:firstLineChars="200"/>
              <w:jc w:val="left"/>
              <w:rPr>
                <w:color w:val="auto"/>
                <w:sz w:val="20"/>
                <w:szCs w:val="24"/>
                <w:highlight w:val="none"/>
              </w:rPr>
            </w:pPr>
            <w:r>
              <w:rPr>
                <w:rFonts w:hint="eastAsia"/>
                <w:color w:val="auto"/>
                <w:sz w:val="20"/>
                <w:szCs w:val="24"/>
                <w:highlight w:val="none"/>
              </w:rPr>
              <w:t>调查时间：        年       月       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tcPr>
          <w:p>
            <w:pPr>
              <w:pStyle w:val="16"/>
              <w:spacing w:line="360" w:lineRule="auto"/>
              <w:ind w:firstLine="400" w:firstLineChars="200"/>
              <w:jc w:val="left"/>
              <w:rPr>
                <w:color w:val="auto"/>
                <w:sz w:val="20"/>
                <w:szCs w:val="24"/>
                <w:highlight w:val="none"/>
              </w:rPr>
            </w:pPr>
            <w:r>
              <w:rPr>
                <w:rFonts w:hint="eastAsia"/>
                <w:color w:val="auto"/>
                <w:sz w:val="20"/>
                <w:szCs w:val="24"/>
                <w:highlight w:val="none"/>
              </w:rPr>
              <w:t>个人情况</w:t>
            </w:r>
          </w:p>
          <w:p>
            <w:pPr>
              <w:pStyle w:val="16"/>
              <w:spacing w:line="360" w:lineRule="auto"/>
              <w:ind w:firstLine="400" w:firstLineChars="200"/>
              <w:jc w:val="left"/>
              <w:rPr>
                <w:color w:val="auto"/>
                <w:sz w:val="20"/>
                <w:szCs w:val="24"/>
                <w:highlight w:val="none"/>
              </w:rPr>
            </w:pPr>
            <w:r>
              <w:rPr>
                <w:rFonts w:hint="eastAsia"/>
                <w:color w:val="auto"/>
                <w:sz w:val="20"/>
                <w:szCs w:val="24"/>
                <w:highlight w:val="none"/>
              </w:rPr>
              <w:t>性别：        年龄：        文化程度：         职业：</w:t>
            </w:r>
          </w:p>
          <w:p>
            <w:pPr>
              <w:pStyle w:val="16"/>
              <w:spacing w:line="360" w:lineRule="auto"/>
              <w:ind w:firstLine="400" w:firstLineChars="200"/>
              <w:jc w:val="left"/>
              <w:rPr>
                <w:color w:val="auto"/>
                <w:sz w:val="20"/>
                <w:szCs w:val="24"/>
                <w:highlight w:val="none"/>
              </w:rPr>
            </w:pPr>
            <w:r>
              <w:rPr>
                <w:rFonts w:hint="eastAsia"/>
                <w:color w:val="auto"/>
                <w:sz w:val="20"/>
                <w:szCs w:val="24"/>
                <w:highlight w:val="none"/>
              </w:rPr>
              <w:t>地址：        区（县）      乡（镇）           村委会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tcPr>
          <w:p>
            <w:pPr>
              <w:pStyle w:val="16"/>
              <w:spacing w:line="360" w:lineRule="auto"/>
              <w:ind w:firstLine="400" w:firstLineChars="200"/>
              <w:jc w:val="left"/>
              <w:rPr>
                <w:color w:val="auto"/>
                <w:sz w:val="20"/>
                <w:szCs w:val="24"/>
                <w:highlight w:val="none"/>
              </w:rPr>
            </w:pPr>
            <w:r>
              <w:rPr>
                <w:rFonts w:hint="eastAsia"/>
                <w:color w:val="auto"/>
                <w:sz w:val="20"/>
                <w:szCs w:val="24"/>
                <w:highlight w:val="none"/>
              </w:rPr>
              <w:t>1、您认为本工程建设是否有利于当地社会和经济发展</w:t>
            </w:r>
          </w:p>
          <w:p>
            <w:pPr>
              <w:pStyle w:val="16"/>
              <w:spacing w:line="360" w:lineRule="auto"/>
              <w:ind w:firstLine="400" w:firstLineChars="200"/>
              <w:jc w:val="left"/>
              <w:rPr>
                <w:color w:val="auto"/>
                <w:sz w:val="20"/>
                <w:szCs w:val="24"/>
                <w:highlight w:val="none"/>
              </w:rPr>
            </w:pPr>
            <w:r>
              <w:rPr>
                <w:rFonts w:hint="eastAsia"/>
                <w:color w:val="auto"/>
                <w:sz w:val="20"/>
                <w:szCs w:val="24"/>
                <w:highlight w:val="none"/>
              </w:rPr>
              <w:t>A、有利     B、一般     C、不利      D、不了解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tcPr>
          <w:p>
            <w:pPr>
              <w:pStyle w:val="16"/>
              <w:spacing w:line="360" w:lineRule="auto"/>
              <w:ind w:firstLine="400" w:firstLineChars="200"/>
              <w:jc w:val="left"/>
              <w:rPr>
                <w:color w:val="auto"/>
                <w:sz w:val="20"/>
                <w:szCs w:val="24"/>
                <w:highlight w:val="none"/>
              </w:rPr>
            </w:pPr>
            <w:r>
              <w:rPr>
                <w:rFonts w:hint="eastAsia"/>
                <w:color w:val="auto"/>
                <w:sz w:val="20"/>
                <w:szCs w:val="24"/>
                <w:highlight w:val="none"/>
              </w:rPr>
              <w:t>2、您认为本工程建设对当地环境是否会带来不利影响</w:t>
            </w:r>
          </w:p>
          <w:p>
            <w:pPr>
              <w:pStyle w:val="16"/>
              <w:spacing w:line="360" w:lineRule="auto"/>
              <w:ind w:firstLine="400" w:firstLineChars="200"/>
              <w:jc w:val="left"/>
              <w:rPr>
                <w:color w:val="auto"/>
                <w:sz w:val="20"/>
                <w:szCs w:val="24"/>
                <w:highlight w:val="none"/>
              </w:rPr>
            </w:pPr>
            <w:r>
              <w:rPr>
                <w:rFonts w:hint="eastAsia"/>
                <w:color w:val="auto"/>
                <w:sz w:val="20"/>
                <w:szCs w:val="24"/>
                <w:highlight w:val="none"/>
              </w:rPr>
              <w:t>A、有利     B、一般     C、不利      D、不了解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tcPr>
          <w:p>
            <w:pPr>
              <w:pStyle w:val="16"/>
              <w:numPr>
                <w:ilvl w:val="255"/>
                <w:numId w:val="0"/>
              </w:numPr>
              <w:spacing w:line="360" w:lineRule="auto"/>
              <w:ind w:firstLine="400" w:firstLineChars="200"/>
              <w:jc w:val="left"/>
              <w:rPr>
                <w:color w:val="auto"/>
                <w:sz w:val="20"/>
                <w:szCs w:val="24"/>
                <w:highlight w:val="none"/>
              </w:rPr>
            </w:pPr>
            <w:r>
              <w:rPr>
                <w:rFonts w:hint="eastAsia"/>
                <w:color w:val="auto"/>
                <w:sz w:val="20"/>
                <w:szCs w:val="24"/>
                <w:highlight w:val="none"/>
              </w:rPr>
              <w:t>3、您认为本工程弃土弃渣管理是否有利于环境</w:t>
            </w:r>
          </w:p>
          <w:p>
            <w:pPr>
              <w:pStyle w:val="16"/>
              <w:spacing w:line="360" w:lineRule="auto"/>
              <w:ind w:firstLine="400" w:firstLineChars="200"/>
              <w:jc w:val="left"/>
              <w:rPr>
                <w:color w:val="auto"/>
                <w:sz w:val="20"/>
                <w:szCs w:val="24"/>
                <w:highlight w:val="none"/>
              </w:rPr>
            </w:pPr>
            <w:r>
              <w:rPr>
                <w:rFonts w:hint="eastAsia"/>
                <w:color w:val="auto"/>
                <w:sz w:val="20"/>
                <w:szCs w:val="24"/>
                <w:highlight w:val="none"/>
              </w:rPr>
              <w:t>A、有利     B、一般     C、不利      D、不了解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tcPr>
          <w:p>
            <w:pPr>
              <w:pStyle w:val="16"/>
              <w:numPr>
                <w:ilvl w:val="255"/>
                <w:numId w:val="0"/>
              </w:numPr>
              <w:spacing w:line="360" w:lineRule="auto"/>
              <w:ind w:firstLine="400" w:firstLineChars="200"/>
              <w:jc w:val="left"/>
              <w:rPr>
                <w:color w:val="auto"/>
                <w:sz w:val="20"/>
                <w:szCs w:val="24"/>
                <w:highlight w:val="none"/>
              </w:rPr>
            </w:pPr>
            <w:r>
              <w:rPr>
                <w:rFonts w:hint="eastAsia"/>
                <w:color w:val="auto"/>
                <w:sz w:val="20"/>
                <w:szCs w:val="24"/>
                <w:highlight w:val="none"/>
              </w:rPr>
              <w:t>4、您认为本工程林草植被建设情况如何</w:t>
            </w:r>
          </w:p>
          <w:p>
            <w:pPr>
              <w:pStyle w:val="16"/>
              <w:spacing w:line="360" w:lineRule="auto"/>
              <w:ind w:firstLine="400" w:firstLineChars="200"/>
              <w:jc w:val="left"/>
              <w:rPr>
                <w:color w:val="auto"/>
                <w:sz w:val="20"/>
                <w:szCs w:val="24"/>
                <w:highlight w:val="none"/>
              </w:rPr>
            </w:pPr>
            <w:r>
              <w:rPr>
                <w:rFonts w:hint="eastAsia"/>
                <w:color w:val="auto"/>
                <w:sz w:val="20"/>
                <w:szCs w:val="24"/>
                <w:highlight w:val="none"/>
              </w:rPr>
              <w:t>A、好       B、一般     C、较好      D、不了解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9286" w:type="dxa"/>
            <w:tcBorders>
              <w:tl2br w:val="nil"/>
              <w:tr2bl w:val="nil"/>
            </w:tcBorders>
          </w:tcPr>
          <w:p>
            <w:pPr>
              <w:pStyle w:val="16"/>
              <w:spacing w:line="360" w:lineRule="auto"/>
              <w:ind w:firstLine="400" w:firstLineChars="200"/>
              <w:jc w:val="left"/>
              <w:rPr>
                <w:color w:val="auto"/>
                <w:sz w:val="20"/>
                <w:szCs w:val="24"/>
                <w:highlight w:val="none"/>
              </w:rPr>
            </w:pPr>
            <w:r>
              <w:rPr>
                <w:rFonts w:hint="eastAsia"/>
                <w:color w:val="auto"/>
                <w:sz w:val="20"/>
                <w:szCs w:val="24"/>
                <w:highlight w:val="none"/>
              </w:rPr>
              <w:t>5、请您谈谈对本项目建设过程中有关水土保持方面的意见和建议：</w:t>
            </w:r>
          </w:p>
        </w:tc>
      </w:tr>
    </w:tbl>
    <w:p>
      <w:pPr>
        <w:ind w:firstLine="480"/>
        <w:rPr>
          <w:rFonts w:cs="Times New Roman"/>
          <w:color w:val="auto"/>
          <w:highlight w:val="none"/>
        </w:rPr>
      </w:pPr>
      <w:r>
        <w:rPr>
          <w:rFonts w:cs="Times New Roman"/>
          <w:color w:val="auto"/>
          <w:highlight w:val="none"/>
        </w:rPr>
        <w:t>根据验收工作的有关规定和要求，在验收工作过程中，共向</w:t>
      </w:r>
      <w:r>
        <w:rPr>
          <w:rFonts w:hint="eastAsia" w:cs="Times New Roman"/>
          <w:color w:val="auto"/>
          <w:highlight w:val="none"/>
        </w:rPr>
        <w:t>项目区</w:t>
      </w:r>
      <w:r>
        <w:rPr>
          <w:rFonts w:cs="Times New Roman"/>
          <w:color w:val="auto"/>
          <w:highlight w:val="none"/>
        </w:rPr>
        <w:t>周围群众发放</w:t>
      </w:r>
      <w:r>
        <w:rPr>
          <w:rFonts w:hint="eastAsia" w:cs="Times New Roman"/>
          <w:color w:val="auto"/>
          <w:highlight w:val="none"/>
        </w:rPr>
        <w:t>12</w:t>
      </w:r>
      <w:r>
        <w:rPr>
          <w:rFonts w:cs="Times New Roman"/>
          <w:color w:val="auto"/>
          <w:highlight w:val="none"/>
        </w:rPr>
        <w:t>张调查表，收回</w:t>
      </w:r>
      <w:r>
        <w:rPr>
          <w:rFonts w:hint="eastAsia" w:cs="Times New Roman"/>
          <w:color w:val="auto"/>
          <w:highlight w:val="none"/>
        </w:rPr>
        <w:t>10</w:t>
      </w:r>
      <w:r>
        <w:rPr>
          <w:rFonts w:cs="Times New Roman"/>
          <w:color w:val="auto"/>
          <w:highlight w:val="none"/>
        </w:rPr>
        <w:t>张，通过抽样进行民意调查。目的在于了解</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水土保持工</w:t>
      </w:r>
      <w:r>
        <w:rPr>
          <w:rFonts w:hint="eastAsia" w:cs="Times New Roman"/>
          <w:color w:val="auto"/>
          <w:highlight w:val="none"/>
        </w:rPr>
        <w:t>程</w:t>
      </w:r>
      <w:r>
        <w:rPr>
          <w:rFonts w:cs="Times New Roman"/>
          <w:color w:val="auto"/>
          <w:highlight w:val="none"/>
        </w:rPr>
        <w:t>及水土保持设施对当地经济和自然环境所产生的影响及民众的反响，以作为本次技术评估工作的参考。所调查的对象主要是</w:t>
      </w:r>
      <w:r>
        <w:rPr>
          <w:rFonts w:hint="eastAsia" w:cs="Times New Roman"/>
          <w:color w:val="auto"/>
          <w:highlight w:val="none"/>
        </w:rPr>
        <w:t>项目区附近</w:t>
      </w:r>
      <w:r>
        <w:rPr>
          <w:rFonts w:cs="Times New Roman"/>
          <w:color w:val="auto"/>
          <w:highlight w:val="none"/>
        </w:rPr>
        <w:t>乡镇居民、商店</w:t>
      </w:r>
      <w:r>
        <w:rPr>
          <w:rFonts w:hint="eastAsia" w:cs="Times New Roman"/>
          <w:color w:val="auto"/>
          <w:highlight w:val="none"/>
        </w:rPr>
        <w:t>老板</w:t>
      </w:r>
      <w:r>
        <w:rPr>
          <w:rFonts w:cs="Times New Roman"/>
          <w:color w:val="auto"/>
          <w:highlight w:val="none"/>
        </w:rPr>
        <w:t>、餐厅老板、</w:t>
      </w:r>
      <w:r>
        <w:rPr>
          <w:rFonts w:hint="eastAsia" w:cs="Times New Roman"/>
          <w:color w:val="auto"/>
          <w:highlight w:val="none"/>
        </w:rPr>
        <w:t>学生</w:t>
      </w:r>
      <w:r>
        <w:rPr>
          <w:rFonts w:cs="Times New Roman"/>
          <w:color w:val="auto"/>
          <w:highlight w:val="none"/>
        </w:rPr>
        <w:t>等。被调查者中20-30岁</w:t>
      </w:r>
      <w:r>
        <w:rPr>
          <w:rFonts w:hint="eastAsia" w:cs="Times New Roman"/>
          <w:color w:val="auto"/>
          <w:highlight w:val="none"/>
        </w:rPr>
        <w:t>4</w:t>
      </w:r>
      <w:r>
        <w:rPr>
          <w:rFonts w:cs="Times New Roman"/>
          <w:color w:val="auto"/>
          <w:highlight w:val="none"/>
        </w:rPr>
        <w:t>人、30-50岁</w:t>
      </w:r>
      <w:r>
        <w:rPr>
          <w:rFonts w:hint="eastAsia" w:cs="Times New Roman"/>
          <w:color w:val="auto"/>
          <w:highlight w:val="none"/>
        </w:rPr>
        <w:t>3</w:t>
      </w:r>
      <w:r>
        <w:rPr>
          <w:rFonts w:cs="Times New Roman"/>
          <w:color w:val="auto"/>
          <w:highlight w:val="none"/>
        </w:rPr>
        <w:t>人，50岁以上</w:t>
      </w:r>
      <w:r>
        <w:rPr>
          <w:rFonts w:hint="eastAsia" w:cs="Times New Roman"/>
          <w:color w:val="auto"/>
          <w:highlight w:val="none"/>
        </w:rPr>
        <w:t>3</w:t>
      </w:r>
      <w:r>
        <w:rPr>
          <w:rFonts w:cs="Times New Roman"/>
          <w:color w:val="auto"/>
          <w:highlight w:val="none"/>
        </w:rPr>
        <w:t>人。其中男性</w:t>
      </w:r>
      <w:r>
        <w:rPr>
          <w:rFonts w:hint="eastAsia" w:cs="Times New Roman"/>
          <w:color w:val="auto"/>
          <w:highlight w:val="none"/>
        </w:rPr>
        <w:t>6</w:t>
      </w:r>
      <w:r>
        <w:rPr>
          <w:rFonts w:cs="Times New Roman"/>
          <w:color w:val="auto"/>
          <w:highlight w:val="none"/>
        </w:rPr>
        <w:t>人，女性</w:t>
      </w:r>
      <w:r>
        <w:rPr>
          <w:rFonts w:hint="eastAsia" w:cs="Times New Roman"/>
          <w:color w:val="auto"/>
          <w:highlight w:val="none"/>
        </w:rPr>
        <w:t>4</w:t>
      </w:r>
      <w:r>
        <w:rPr>
          <w:rFonts w:cs="Times New Roman"/>
          <w:color w:val="auto"/>
          <w:highlight w:val="none"/>
        </w:rPr>
        <w:t>人。详见表5.3-1。</w:t>
      </w:r>
    </w:p>
    <w:p>
      <w:pPr>
        <w:ind w:firstLine="480"/>
        <w:rPr>
          <w:rFonts w:cs="Times New Roman"/>
          <w:color w:val="auto"/>
          <w:highlight w:val="none"/>
        </w:rPr>
      </w:pPr>
      <w:r>
        <w:rPr>
          <w:rFonts w:cs="Times New Roman"/>
          <w:color w:val="auto"/>
          <w:highlight w:val="none"/>
        </w:rPr>
        <w:t>调查结果显示，被访问者对该工程对当地的经济影响和环境影响评价较好，绝大多数被访者认为：该工程的建设促进了当地经济发展和生活环境的改善。</w:t>
      </w:r>
    </w:p>
    <w:p>
      <w:pPr>
        <w:pStyle w:val="15"/>
        <w:rPr>
          <w:rFonts w:cs="Times New Roman"/>
          <w:color w:val="auto"/>
          <w:highlight w:val="none"/>
        </w:rPr>
      </w:pPr>
      <w:r>
        <w:rPr>
          <w:rFonts w:cs="Times New Roman"/>
          <w:color w:val="auto"/>
          <w:highlight w:val="none"/>
        </w:rPr>
        <w:t>表5.3-1 项目水土保持公众调查统计表</w:t>
      </w:r>
    </w:p>
    <w:tbl>
      <w:tblPr>
        <w:tblStyle w:val="11"/>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861"/>
        <w:gridCol w:w="923"/>
        <w:gridCol w:w="861"/>
        <w:gridCol w:w="862"/>
        <w:gridCol w:w="861"/>
        <w:gridCol w:w="1210"/>
        <w:gridCol w:w="861"/>
        <w:gridCol w:w="862"/>
        <w:gridCol w:w="933"/>
        <w:gridCol w:w="86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80"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调查年龄段</w:t>
            </w:r>
          </w:p>
        </w:tc>
        <w:tc>
          <w:tcPr>
            <w:tcW w:w="94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20-30岁</w:t>
            </w:r>
          </w:p>
        </w:tc>
        <w:tc>
          <w:tcPr>
            <w:tcW w:w="1138"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30-50岁</w:t>
            </w:r>
          </w:p>
        </w:tc>
        <w:tc>
          <w:tcPr>
            <w:tcW w:w="94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50岁以上</w:t>
            </w:r>
          </w:p>
        </w:tc>
        <w:tc>
          <w:tcPr>
            <w:tcW w:w="51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男</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女</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调查总数</w:t>
            </w:r>
          </w:p>
        </w:tc>
        <w:tc>
          <w:tcPr>
            <w:tcW w:w="506"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10</w:t>
            </w:r>
          </w:p>
        </w:tc>
        <w:tc>
          <w:tcPr>
            <w:tcW w:w="94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4</w:t>
            </w:r>
          </w:p>
        </w:tc>
        <w:tc>
          <w:tcPr>
            <w:tcW w:w="1138"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3</w:t>
            </w:r>
          </w:p>
        </w:tc>
        <w:tc>
          <w:tcPr>
            <w:tcW w:w="94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3</w:t>
            </w:r>
          </w:p>
        </w:tc>
        <w:tc>
          <w:tcPr>
            <w:tcW w:w="51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6</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80"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职 业</w:t>
            </w:r>
          </w:p>
        </w:tc>
        <w:tc>
          <w:tcPr>
            <w:tcW w:w="94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居民</w:t>
            </w:r>
          </w:p>
        </w:tc>
        <w:tc>
          <w:tcPr>
            <w:tcW w:w="1138"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商店老板</w:t>
            </w:r>
          </w:p>
        </w:tc>
        <w:tc>
          <w:tcPr>
            <w:tcW w:w="94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餐厅老板</w:t>
            </w:r>
          </w:p>
        </w:tc>
        <w:tc>
          <w:tcPr>
            <w:tcW w:w="986"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rFonts w:hint="eastAsia"/>
                <w:color w:val="auto"/>
                <w:highlight w:val="none"/>
              </w:rPr>
              <w:t>学生</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80"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人 数</w:t>
            </w:r>
          </w:p>
        </w:tc>
        <w:tc>
          <w:tcPr>
            <w:tcW w:w="94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7</w:t>
            </w:r>
          </w:p>
        </w:tc>
        <w:tc>
          <w:tcPr>
            <w:tcW w:w="1138"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w:t>
            </w:r>
          </w:p>
        </w:tc>
        <w:tc>
          <w:tcPr>
            <w:tcW w:w="947"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w:t>
            </w:r>
          </w:p>
        </w:tc>
        <w:tc>
          <w:tcPr>
            <w:tcW w:w="986"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80" w:type="pct"/>
            <w:gridSpan w:val="2"/>
            <w:vMerge w:val="restar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调查项目</w:t>
            </w:r>
          </w:p>
        </w:tc>
        <w:tc>
          <w:tcPr>
            <w:tcW w:w="4019" w:type="pct"/>
            <w:gridSpan w:val="8"/>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调查项目评价</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80" w:type="pct"/>
            <w:gridSpan w:val="2"/>
            <w:vMerge w:val="continue"/>
            <w:tcBorders>
              <w:tl2br w:val="nil"/>
              <w:tr2bl w:val="nil"/>
            </w:tcBorders>
            <w:shd w:val="clear" w:color="auto" w:fill="auto"/>
            <w:tcMar>
              <w:top w:w="15" w:type="dxa"/>
              <w:left w:w="15" w:type="dxa"/>
              <w:right w:w="15" w:type="dxa"/>
            </w:tcMar>
            <w:vAlign w:val="center"/>
          </w:tcPr>
          <w:p>
            <w:pPr>
              <w:pStyle w:val="16"/>
              <w:rPr>
                <w:color w:val="auto"/>
                <w:highlight w:val="none"/>
              </w:rPr>
            </w:pP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好</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一般</w:t>
            </w:r>
          </w:p>
        </w:tc>
        <w:tc>
          <w:tcPr>
            <w:tcW w:w="66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差</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w:t>
            </w:r>
          </w:p>
        </w:tc>
        <w:tc>
          <w:tcPr>
            <w:tcW w:w="51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说不清</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80"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项目对当地经济影响</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9</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90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w:t>
            </w:r>
          </w:p>
        </w:tc>
        <w:tc>
          <w:tcPr>
            <w:tcW w:w="66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51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80"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项目对当地环境影响</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8</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80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w:t>
            </w:r>
          </w:p>
        </w:tc>
        <w:tc>
          <w:tcPr>
            <w:tcW w:w="66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10</w:t>
            </w:r>
          </w:p>
        </w:tc>
        <w:tc>
          <w:tcPr>
            <w:tcW w:w="51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80"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项目弃土弃渣管理</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9</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90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w:t>
            </w:r>
          </w:p>
        </w:tc>
        <w:tc>
          <w:tcPr>
            <w:tcW w:w="66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51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80" w:type="pct"/>
            <w:gridSpan w:val="2"/>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项目林草植被建设</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9</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90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664"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0</w:t>
            </w:r>
          </w:p>
        </w:tc>
        <w:tc>
          <w:tcPr>
            <w:tcW w:w="51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w:t>
            </w:r>
          </w:p>
        </w:tc>
        <w:tc>
          <w:tcPr>
            <w:tcW w:w="473" w:type="pct"/>
            <w:tcBorders>
              <w:tl2br w:val="nil"/>
              <w:tr2bl w:val="nil"/>
            </w:tcBorders>
            <w:shd w:val="clear" w:color="auto" w:fill="auto"/>
            <w:tcMar>
              <w:top w:w="15" w:type="dxa"/>
              <w:left w:w="15" w:type="dxa"/>
              <w:right w:w="15" w:type="dxa"/>
            </w:tcMar>
            <w:vAlign w:val="center"/>
          </w:tcPr>
          <w:p>
            <w:pPr>
              <w:pStyle w:val="16"/>
              <w:rPr>
                <w:color w:val="auto"/>
                <w:highlight w:val="none"/>
              </w:rPr>
            </w:pPr>
            <w:r>
              <w:rPr>
                <w:color w:val="auto"/>
                <w:highlight w:val="none"/>
              </w:rPr>
              <w:t>10</w:t>
            </w:r>
          </w:p>
        </w:tc>
      </w:tr>
    </w:tbl>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p>
    <w:p>
      <w:pPr>
        <w:pStyle w:val="2"/>
        <w:rPr>
          <w:rFonts w:cs="Times New Roman"/>
          <w:color w:val="auto"/>
          <w:highlight w:val="none"/>
        </w:rPr>
      </w:pPr>
      <w:bookmarkStart w:id="30" w:name="_Toc5418"/>
      <w:r>
        <w:rPr>
          <w:rFonts w:cs="Times New Roman"/>
          <w:color w:val="auto"/>
          <w:highlight w:val="none"/>
        </w:rPr>
        <w:t>水土保持管理</w:t>
      </w:r>
      <w:bookmarkEnd w:id="30"/>
    </w:p>
    <w:p>
      <w:pPr>
        <w:pStyle w:val="3"/>
        <w:rPr>
          <w:rFonts w:cs="Times New Roman"/>
          <w:color w:val="auto"/>
          <w:highlight w:val="none"/>
        </w:rPr>
      </w:pPr>
      <w:bookmarkStart w:id="31" w:name="_Toc2089"/>
      <w:r>
        <w:rPr>
          <w:rFonts w:cs="Times New Roman"/>
          <w:color w:val="auto"/>
          <w:highlight w:val="none"/>
        </w:rPr>
        <w:t>组织领导</w:t>
      </w:r>
      <w:bookmarkEnd w:id="31"/>
    </w:p>
    <w:p>
      <w:pPr>
        <w:ind w:firstLine="480"/>
        <w:rPr>
          <w:rFonts w:cs="Times New Roman"/>
          <w:color w:val="auto"/>
          <w:highlight w:val="none"/>
        </w:rPr>
      </w:pP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工程管理体系由建设单位成立的管理委员会，总体布署、协调及检查水保工作；公司工程建设部负责水土保持的日常管理工作；各施工单位负责各项水保措施的具体落实，并明确分管领导和责任人；监理单位负责各水保土建措施的具体实施和质量管理，负责对水保工作的过程进行例行巡视检查、提出整改方案，并定期提交综合服务报告及咨询意见。</w:t>
      </w:r>
    </w:p>
    <w:p>
      <w:pPr>
        <w:ind w:firstLine="480"/>
        <w:rPr>
          <w:rFonts w:cs="Times New Roman"/>
          <w:color w:val="auto"/>
          <w:highlight w:val="none"/>
        </w:rPr>
      </w:pPr>
      <w:r>
        <w:rPr>
          <w:rFonts w:cs="Times New Roman"/>
          <w:color w:val="auto"/>
          <w:highlight w:val="none"/>
        </w:rPr>
        <w:t>建设单位直接参与水土保持方案的审查和负责督促编制各项文件，参加组织设计、施工、监理单位水保专（兼）职人员的业务培训，配合上级部门检查，并参与水保设施的竣工验收。</w:t>
      </w:r>
    </w:p>
    <w:p>
      <w:pPr>
        <w:ind w:firstLine="480"/>
        <w:rPr>
          <w:rFonts w:cs="Times New Roman"/>
          <w:color w:val="auto"/>
          <w:highlight w:val="none"/>
        </w:rPr>
      </w:pPr>
      <w:r>
        <w:rPr>
          <w:rFonts w:cs="Times New Roman"/>
          <w:color w:val="auto"/>
          <w:highlight w:val="none"/>
        </w:rPr>
        <w:t>工程部负责现场组织施工单位落实水保工程的施工组织管理，并要求监理单位按照水土流失防治的原则，严格把关，负责水保工程按计划验工，并参与水保设施的竣工验交。</w:t>
      </w:r>
    </w:p>
    <w:p>
      <w:pPr>
        <w:ind w:firstLine="480"/>
        <w:rPr>
          <w:rFonts w:cs="Times New Roman"/>
          <w:color w:val="auto"/>
          <w:highlight w:val="none"/>
        </w:rPr>
      </w:pPr>
      <w:r>
        <w:rPr>
          <w:rFonts w:cs="Times New Roman"/>
          <w:color w:val="auto"/>
          <w:highlight w:val="none"/>
        </w:rPr>
        <w:t>财务部负责按水保合同及施工计划，根据工程实际完成情况，进行验工计价的款项拨付。</w:t>
      </w:r>
    </w:p>
    <w:p>
      <w:pPr>
        <w:ind w:firstLine="480"/>
        <w:rPr>
          <w:rFonts w:cs="Times New Roman"/>
          <w:color w:val="auto"/>
          <w:highlight w:val="none"/>
        </w:rPr>
      </w:pPr>
      <w:r>
        <w:rPr>
          <w:rFonts w:cs="Times New Roman"/>
          <w:color w:val="auto"/>
          <w:highlight w:val="none"/>
        </w:rPr>
        <w:t>施工期间，监理单位根据公司的授权和监理合同的规定，在总监办的领导下，对施工单位实施全过程监理，建立了以总监理工程师为中心，监理工程师负责，全过程、全方位的质量监控体系。</w:t>
      </w:r>
    </w:p>
    <w:p>
      <w:pPr>
        <w:ind w:firstLine="480"/>
        <w:rPr>
          <w:rFonts w:cs="Times New Roman"/>
          <w:color w:val="auto"/>
          <w:highlight w:val="none"/>
        </w:rPr>
      </w:pPr>
      <w:r>
        <w:rPr>
          <w:rFonts w:cs="Times New Roman"/>
          <w:color w:val="auto"/>
          <w:highlight w:val="none"/>
        </w:rPr>
        <w:t>参与施工的单位均为具有相关施工经验的大型施工企业，并建立了较为完善的内部质量管理体系，以项目负责人为中心，并指定专人负责水土保持工程的实施，施工中严格执行“三检”制度，保证了工程按设计图及国家相关规范施工，工程质量合格。</w:t>
      </w:r>
    </w:p>
    <w:p>
      <w:pPr>
        <w:pStyle w:val="3"/>
        <w:rPr>
          <w:rFonts w:cs="Times New Roman"/>
          <w:color w:val="auto"/>
          <w:highlight w:val="none"/>
        </w:rPr>
      </w:pPr>
      <w:bookmarkStart w:id="32" w:name="_Toc11547"/>
      <w:r>
        <w:rPr>
          <w:rFonts w:cs="Times New Roman"/>
          <w:color w:val="auto"/>
          <w:highlight w:val="none"/>
        </w:rPr>
        <w:t>规章制度</w:t>
      </w:r>
      <w:bookmarkEnd w:id="32"/>
    </w:p>
    <w:p>
      <w:pPr>
        <w:ind w:firstLine="480"/>
        <w:rPr>
          <w:rFonts w:cs="Times New Roman"/>
          <w:color w:val="auto"/>
          <w:highlight w:val="none"/>
        </w:rPr>
      </w:pPr>
      <w:r>
        <w:rPr>
          <w:rFonts w:cs="Times New Roman"/>
          <w:color w:val="auto"/>
          <w:highlight w:val="none"/>
        </w:rPr>
        <w:t>建设单位对水土保持工作高度重视，为搞好本项目的水土保持工作，根据《中华人民共和国水土保持法》等相关法律、法规、结合工程特点和施工工艺，全面遵循基本建设程序，实行项目法人责任制、招投标制、建设监理制等规章制度，从制度上保证和规范各项工程顺利建成并投入使用。</w:t>
      </w:r>
    </w:p>
    <w:p>
      <w:pPr>
        <w:numPr>
          <w:ilvl w:val="0"/>
          <w:numId w:val="22"/>
        </w:numPr>
        <w:ind w:left="0" w:firstLine="480"/>
        <w:rPr>
          <w:rFonts w:cs="Times New Roman"/>
          <w:color w:val="auto"/>
          <w:highlight w:val="none"/>
        </w:rPr>
      </w:pPr>
      <w:r>
        <w:rPr>
          <w:rFonts w:cs="Times New Roman"/>
          <w:color w:val="auto"/>
          <w:highlight w:val="none"/>
        </w:rPr>
        <w:t xml:space="preserve">项目法人制 </w:t>
      </w:r>
    </w:p>
    <w:p>
      <w:pPr>
        <w:ind w:firstLine="480"/>
        <w:rPr>
          <w:rFonts w:cs="Times New Roman"/>
          <w:color w:val="auto"/>
          <w:highlight w:val="none"/>
        </w:rPr>
      </w:pPr>
      <w:r>
        <w:rPr>
          <w:rFonts w:cs="Times New Roman"/>
          <w:color w:val="auto"/>
          <w:highlight w:val="none"/>
        </w:rPr>
        <w:t>为贯彻落实建设项目法人责任制，明确项目建设的责任主体，责任范围，</w:t>
      </w:r>
      <w:r>
        <w:rPr>
          <w:rFonts w:hint="eastAsia" w:cs="Times New Roman"/>
          <w:color w:val="auto"/>
          <w:highlight w:val="none"/>
          <w:lang w:eastAsia="zh-CN"/>
        </w:rPr>
        <w:t>成都润嘉汽车部件有限公司</w:t>
      </w:r>
      <w:r>
        <w:rPr>
          <w:rFonts w:cs="Times New Roman"/>
          <w:color w:val="auto"/>
          <w:highlight w:val="none"/>
        </w:rPr>
        <w:t>对项目建设进行全面管理，由各建管单位履行项目建设的各项现场管理职责。建设管理组织机构健全，职责及分工明确，规章制度齐全。</w:t>
      </w:r>
    </w:p>
    <w:p>
      <w:pPr>
        <w:numPr>
          <w:ilvl w:val="0"/>
          <w:numId w:val="22"/>
        </w:numPr>
        <w:ind w:left="0" w:firstLine="480"/>
        <w:rPr>
          <w:rFonts w:cs="Times New Roman"/>
          <w:color w:val="auto"/>
          <w:highlight w:val="none"/>
        </w:rPr>
      </w:pPr>
      <w:r>
        <w:rPr>
          <w:rFonts w:cs="Times New Roman"/>
          <w:color w:val="auto"/>
          <w:highlight w:val="none"/>
        </w:rPr>
        <w:t>招投标制度</w:t>
      </w:r>
    </w:p>
    <w:p>
      <w:pPr>
        <w:ind w:firstLine="480"/>
        <w:rPr>
          <w:rFonts w:cs="Times New Roman"/>
          <w:color w:val="auto"/>
          <w:highlight w:val="none"/>
        </w:rPr>
      </w:pPr>
      <w:r>
        <w:rPr>
          <w:rFonts w:cs="Times New Roman"/>
          <w:color w:val="auto"/>
          <w:highlight w:val="none"/>
        </w:rPr>
        <w:t>为了将水土保持方案落到实处，各建管单位项目成立了招标工作领导小组、评委专家组合招标办公室。严格按照《中华人民共和国招标投标法》等有关规定，遵循国内竞争性招标采购原则和程序。招投标等活动始终贯彻“公平、公正、科学、择优”的原则，在监督下有序进行。在招标文件中，明确水土保持工程技术要求，把水土保持工程各项内容纳入招标文件的正式条款中。</w:t>
      </w:r>
    </w:p>
    <w:p>
      <w:pPr>
        <w:numPr>
          <w:ilvl w:val="0"/>
          <w:numId w:val="22"/>
        </w:numPr>
        <w:ind w:left="0" w:firstLine="480"/>
        <w:rPr>
          <w:rFonts w:cs="Times New Roman"/>
          <w:color w:val="auto"/>
          <w:highlight w:val="none"/>
        </w:rPr>
      </w:pPr>
      <w:r>
        <w:rPr>
          <w:rFonts w:cs="Times New Roman"/>
          <w:color w:val="auto"/>
          <w:highlight w:val="none"/>
        </w:rPr>
        <w:t>建设监理制</w:t>
      </w:r>
    </w:p>
    <w:p>
      <w:pPr>
        <w:ind w:firstLine="480"/>
        <w:rPr>
          <w:rFonts w:cs="Times New Roman"/>
          <w:color w:val="auto"/>
          <w:highlight w:val="none"/>
        </w:rPr>
      </w:pPr>
      <w:r>
        <w:rPr>
          <w:rFonts w:cs="Times New Roman"/>
          <w:color w:val="auto"/>
          <w:highlight w:val="none"/>
        </w:rPr>
        <w:t>项目全面实行工程建设监理制度，监理单位在合同条款规定范围内，独立行使工程监理职能。主体监理的工作范围及职责是负责主体工程监理及水土保持工程措施、植物措施及临时措施的现场监理工作。并将水土保持监理单位的工作范围、内容及职责主要是负责水土保持资料的编制归档、水土保持工程自查初验，按照《水土保持工程质量评定规程》（SL336-2006）进行项目划分等。</w:t>
      </w:r>
    </w:p>
    <w:p>
      <w:pPr>
        <w:numPr>
          <w:ilvl w:val="0"/>
          <w:numId w:val="22"/>
        </w:numPr>
        <w:ind w:left="0" w:firstLine="480"/>
        <w:rPr>
          <w:rFonts w:cs="Times New Roman"/>
          <w:color w:val="auto"/>
          <w:highlight w:val="none"/>
        </w:rPr>
      </w:pPr>
      <w:r>
        <w:rPr>
          <w:rFonts w:cs="Times New Roman"/>
          <w:color w:val="auto"/>
          <w:highlight w:val="none"/>
        </w:rPr>
        <w:t>水土保持规章制度</w:t>
      </w:r>
    </w:p>
    <w:p>
      <w:pPr>
        <w:ind w:firstLine="480"/>
        <w:rPr>
          <w:rFonts w:cs="Times New Roman"/>
          <w:color w:val="auto"/>
          <w:highlight w:val="none"/>
        </w:rPr>
      </w:pPr>
      <w:r>
        <w:rPr>
          <w:rFonts w:cs="Times New Roman"/>
          <w:color w:val="auto"/>
          <w:highlight w:val="none"/>
        </w:rPr>
        <w:t>加强项目环境保护和水土保持管理工作，明确项目水土保持组织机构及管理职责，从而确保水土保持管理的制度化。为确保通过水土保持设施竣工验收，建设单位对验收单位的职责、程序、内容、考核评价均提出明确要求，作为指导验收的依据。</w:t>
      </w:r>
    </w:p>
    <w:p>
      <w:pPr>
        <w:ind w:firstLine="480"/>
        <w:rPr>
          <w:rFonts w:cs="Times New Roman"/>
          <w:color w:val="auto"/>
          <w:highlight w:val="none"/>
        </w:rPr>
      </w:pPr>
      <w:r>
        <w:rPr>
          <w:rFonts w:cs="Times New Roman"/>
          <w:color w:val="auto"/>
          <w:highlight w:val="none"/>
        </w:rPr>
        <w:t>综上所述，水土保持管理规章制度健全，水土保持管理组织机构完整，本工程参建各方均配备有具体部门和人员负责工程施工过程水土保持施工管理工作。</w:t>
      </w:r>
    </w:p>
    <w:p>
      <w:pPr>
        <w:pStyle w:val="3"/>
        <w:rPr>
          <w:rFonts w:cs="Times New Roman"/>
          <w:color w:val="auto"/>
          <w:highlight w:val="none"/>
        </w:rPr>
      </w:pPr>
      <w:bookmarkStart w:id="33" w:name="_Toc14504"/>
      <w:r>
        <w:rPr>
          <w:rFonts w:cs="Times New Roman"/>
          <w:color w:val="auto"/>
          <w:highlight w:val="none"/>
        </w:rPr>
        <w:t>建设管理</w:t>
      </w:r>
      <w:bookmarkEnd w:id="33"/>
    </w:p>
    <w:p>
      <w:pPr>
        <w:numPr>
          <w:ilvl w:val="0"/>
          <w:numId w:val="23"/>
        </w:numPr>
        <w:ind w:left="0" w:firstLine="480"/>
        <w:rPr>
          <w:rFonts w:cs="Times New Roman"/>
          <w:color w:val="auto"/>
          <w:highlight w:val="none"/>
        </w:rPr>
      </w:pPr>
      <w:r>
        <w:rPr>
          <w:rFonts w:cs="Times New Roman"/>
          <w:color w:val="auto"/>
          <w:highlight w:val="none"/>
        </w:rPr>
        <w:t>成立强有力的施工组织机构</w:t>
      </w:r>
    </w:p>
    <w:p>
      <w:pPr>
        <w:ind w:firstLine="480"/>
        <w:rPr>
          <w:rFonts w:cs="Times New Roman"/>
          <w:color w:val="auto"/>
          <w:highlight w:val="none"/>
        </w:rPr>
      </w:pPr>
      <w:r>
        <w:rPr>
          <w:rFonts w:cs="Times New Roman"/>
          <w:color w:val="auto"/>
          <w:highlight w:val="none"/>
        </w:rPr>
        <w:t>在当地水行政主管部门指导和监督，设计、施工单位大力配合支持下，建设单位统一组织实施，结合主体工程施工进度安排，科学合理地安排水土保持工程施工。建设单位通过加强领导和组织管理，成立专职机构，设置专人负责水土保持工作，并从施工招投标入手，落实施工单位防治责任。就把水土保持工程纳入到主体工程管理中，要求各施工单位严格按照水利厅批复的水土保持方案和后续设计方案进行施工，要求施工单位就施工中遇到的问题，及时向各项目组、工程设计单位、方案编制单位进行技术咨询和反映，并成立水土保持监测工作组，开展本工程的水土流失监测任务，对本项目水土保持工程措施进行监测。</w:t>
      </w:r>
    </w:p>
    <w:p>
      <w:pPr>
        <w:numPr>
          <w:ilvl w:val="0"/>
          <w:numId w:val="23"/>
        </w:numPr>
        <w:ind w:left="0" w:firstLine="480"/>
        <w:rPr>
          <w:rFonts w:cs="Times New Roman"/>
          <w:color w:val="auto"/>
          <w:highlight w:val="none"/>
        </w:rPr>
      </w:pPr>
      <w:r>
        <w:rPr>
          <w:rFonts w:cs="Times New Roman"/>
          <w:color w:val="auto"/>
          <w:highlight w:val="none"/>
        </w:rPr>
        <w:t>严抓质量管理，确保质量目标的实现</w:t>
      </w:r>
    </w:p>
    <w:p>
      <w:pPr>
        <w:ind w:firstLine="480"/>
        <w:rPr>
          <w:rFonts w:cs="Times New Roman"/>
          <w:color w:val="auto"/>
          <w:highlight w:val="none"/>
        </w:rPr>
      </w:pPr>
      <w:r>
        <w:rPr>
          <w:rFonts w:cs="Times New Roman"/>
          <w:color w:val="auto"/>
          <w:highlight w:val="none"/>
        </w:rPr>
        <w:t>工程在建设过程中，始终把工程质量作为项目建设的头等大事来抓，牢固树立质量第一的观念，采取了一系列卓有成效的管理措施，确保了各项工程质量。建立和完善三级质量保证体系，夯实质量管理基础；开展质量教育，明确质量标准；落实质量责任终身制和隐蔽工程档案制；开展样板工程竞赛；组织专项检查，定期开展质量回头看活动；注重质量通病的预防，重点工程重点监管；加强验收控制和原材料进场控制。</w:t>
      </w:r>
    </w:p>
    <w:p>
      <w:pPr>
        <w:numPr>
          <w:ilvl w:val="0"/>
          <w:numId w:val="23"/>
        </w:numPr>
        <w:ind w:left="0" w:firstLine="480"/>
        <w:rPr>
          <w:rFonts w:cs="Times New Roman"/>
          <w:color w:val="auto"/>
          <w:highlight w:val="none"/>
        </w:rPr>
      </w:pPr>
      <w:r>
        <w:rPr>
          <w:rFonts w:cs="Times New Roman"/>
          <w:color w:val="auto"/>
          <w:highlight w:val="none"/>
        </w:rPr>
        <w:t>合同及执行情况</w:t>
      </w:r>
    </w:p>
    <w:p>
      <w:pPr>
        <w:ind w:firstLine="480"/>
        <w:rPr>
          <w:rFonts w:cs="Times New Roman"/>
          <w:color w:val="auto"/>
          <w:highlight w:val="none"/>
        </w:rPr>
      </w:pPr>
      <w:r>
        <w:rPr>
          <w:rFonts w:cs="Times New Roman"/>
          <w:color w:val="auto"/>
          <w:highlight w:val="none"/>
        </w:rPr>
        <w:t>为有效控制水土保持专项资金的落实和安全使用，建设单位与各施工单位、监理单位、设计单位分别签订了工程施工合同、建设工程设计合同、建设工程委托监理合同、技术咨询合同等，严格控制工程变更、计量支付程序、资金使用管理、非生产性支出，确保了资金使用安全有效，并鼓励和奖励参建人员为节约工程投资而提出的优化设计方案和合理化建议。</w:t>
      </w:r>
    </w:p>
    <w:p>
      <w:pPr>
        <w:ind w:firstLine="480"/>
        <w:rPr>
          <w:rFonts w:cs="Times New Roman"/>
          <w:color w:val="auto"/>
          <w:highlight w:val="none"/>
        </w:rPr>
      </w:pPr>
      <w:r>
        <w:rPr>
          <w:rFonts w:cs="Times New Roman"/>
          <w:color w:val="auto"/>
          <w:highlight w:val="none"/>
        </w:rPr>
        <w:t>建设单位每年定期组织合同执行情况检查，不定期合同执行情况检查，执行情况检查结果汇总后制表，报公司及有关领导审核，对存在问题以书面资料通知相关单位整改并执行相关文件、合同、规定的约定。执行情况检查结果年底汇总后作为呈报上级部门的依据。</w:t>
      </w:r>
    </w:p>
    <w:p>
      <w:pPr>
        <w:pStyle w:val="3"/>
        <w:rPr>
          <w:rFonts w:cs="Times New Roman"/>
          <w:color w:val="auto"/>
          <w:highlight w:val="none"/>
        </w:rPr>
      </w:pPr>
      <w:bookmarkStart w:id="34" w:name="_Toc2634"/>
      <w:r>
        <w:rPr>
          <w:rFonts w:cs="Times New Roman"/>
          <w:color w:val="auto"/>
          <w:highlight w:val="none"/>
        </w:rPr>
        <w:t>水土保持监测</w:t>
      </w:r>
      <w:bookmarkEnd w:id="34"/>
    </w:p>
    <w:p>
      <w:pPr>
        <w:ind w:firstLine="480"/>
        <w:rPr>
          <w:rFonts w:cs="Times New Roman"/>
          <w:color w:val="auto"/>
          <w:highlight w:val="none"/>
        </w:rPr>
      </w:pPr>
      <w:r>
        <w:rPr>
          <w:rFonts w:hint="eastAsia" w:cs="Times New Roman"/>
          <w:color w:val="auto"/>
          <w:highlight w:val="none"/>
        </w:rPr>
        <w:t>四川景溪工程设计咨询有限公司于2020年</w:t>
      </w:r>
      <w:r>
        <w:rPr>
          <w:rFonts w:hint="eastAsia" w:cs="Times New Roman"/>
          <w:color w:val="auto"/>
          <w:highlight w:val="none"/>
          <w:lang w:val="en-US" w:eastAsia="zh-CN"/>
        </w:rPr>
        <w:t>6</w:t>
      </w:r>
      <w:r>
        <w:rPr>
          <w:rFonts w:hint="eastAsia" w:cs="Times New Roman"/>
          <w:color w:val="auto"/>
          <w:highlight w:val="none"/>
        </w:rPr>
        <w:t>月接受委托，承担本项目的水土保持监测工作后，成立了本项目水土保持监测小组，依据工程建设过程中水土流失情况和运营后防治责任范围内水土流失实际发生情况，按照监测工作分区开展水土保持监测工作。落实各项水土保持监测工作，分工详细、责任到人</w:t>
      </w:r>
      <w:r>
        <w:rPr>
          <w:rFonts w:cs="Times New Roman"/>
          <w:color w:val="auto"/>
          <w:highlight w:val="none"/>
        </w:rPr>
        <w:t>。</w:t>
      </w:r>
    </w:p>
    <w:p>
      <w:pPr>
        <w:pStyle w:val="4"/>
        <w:rPr>
          <w:rFonts w:cs="Times New Roman"/>
          <w:color w:val="auto"/>
          <w:highlight w:val="none"/>
        </w:rPr>
      </w:pPr>
      <w:r>
        <w:rPr>
          <w:rFonts w:cs="Times New Roman"/>
          <w:color w:val="auto"/>
          <w:highlight w:val="none"/>
        </w:rPr>
        <w:t>监测时段划分及监测工作开展情况</w:t>
      </w:r>
    </w:p>
    <w:p>
      <w:pPr>
        <w:ind w:firstLine="480"/>
        <w:rPr>
          <w:rFonts w:cs="Times New Roman"/>
          <w:color w:val="auto"/>
          <w:highlight w:val="none"/>
        </w:rPr>
      </w:pPr>
      <w:r>
        <w:rPr>
          <w:rFonts w:hint="eastAsia" w:cs="Times New Roman"/>
          <w:color w:val="auto"/>
          <w:highlight w:val="none"/>
        </w:rPr>
        <w:t>根据主体工程建设进度和方案中水土保持措施实施进度安排，水土保持监测本应与主体工程同步进行，从而能及时了解和掌握工程建设中的水土流失状况，为保证监测的实时、快速、准确性，因项目为已建成项目，结合工程建设特点和进展情况，根据验收要求，在总结分析监测成果的基础上，2020年</w:t>
      </w:r>
      <w:r>
        <w:rPr>
          <w:rFonts w:hint="eastAsia" w:cs="Times New Roman"/>
          <w:color w:val="auto"/>
          <w:highlight w:val="none"/>
          <w:lang w:val="en-US" w:eastAsia="zh-CN"/>
        </w:rPr>
        <w:t>6</w:t>
      </w:r>
      <w:r>
        <w:rPr>
          <w:rFonts w:hint="eastAsia" w:cs="Times New Roman"/>
          <w:color w:val="auto"/>
          <w:highlight w:val="none"/>
        </w:rPr>
        <w:t>月份，完成了最后一次水土保持监测全区调查，同时各监测点的监测工作也结束。并对全部监测成果进行了整编，总结分析监测成果，收集工程竣工资料，于2020年</w:t>
      </w:r>
      <w:r>
        <w:rPr>
          <w:rFonts w:hint="eastAsia" w:cs="Times New Roman"/>
          <w:color w:val="auto"/>
          <w:highlight w:val="none"/>
          <w:lang w:val="en-US" w:eastAsia="zh-CN"/>
        </w:rPr>
        <w:t>7</w:t>
      </w:r>
      <w:r>
        <w:rPr>
          <w:rFonts w:hint="eastAsia" w:cs="Times New Roman"/>
          <w:color w:val="auto"/>
          <w:highlight w:val="none"/>
        </w:rPr>
        <w:t>月编写完成《</w:t>
      </w:r>
      <w:r>
        <w:rPr>
          <w:rFonts w:hint="eastAsia" w:cs="Times New Roman"/>
          <w:color w:val="auto"/>
          <w:highlight w:val="none"/>
          <w:lang w:eastAsia="zh-CN"/>
        </w:rPr>
        <w:t>上海千缘汽车车身模具有限公司关于汽车零部件制造的项目</w:t>
      </w:r>
      <w:r>
        <w:rPr>
          <w:rFonts w:hint="eastAsia" w:cs="Times New Roman"/>
          <w:color w:val="auto"/>
          <w:highlight w:val="none"/>
        </w:rPr>
        <w:t>水土保持监测总结报告》</w:t>
      </w:r>
      <w:r>
        <w:rPr>
          <w:rFonts w:cs="Times New Roman"/>
          <w:color w:val="auto"/>
          <w:highlight w:val="none"/>
        </w:rPr>
        <w:t>。</w:t>
      </w:r>
    </w:p>
    <w:p>
      <w:pPr>
        <w:pStyle w:val="4"/>
        <w:rPr>
          <w:rFonts w:cs="Times New Roman"/>
          <w:color w:val="auto"/>
          <w:highlight w:val="none"/>
        </w:rPr>
      </w:pPr>
      <w:r>
        <w:rPr>
          <w:rFonts w:cs="Times New Roman"/>
          <w:color w:val="auto"/>
          <w:highlight w:val="none"/>
        </w:rPr>
        <w:t>监测内容及方法</w:t>
      </w:r>
    </w:p>
    <w:p>
      <w:pPr>
        <w:pStyle w:val="5"/>
        <w:rPr>
          <w:rFonts w:cs="Times New Roman"/>
          <w:color w:val="auto"/>
          <w:highlight w:val="none"/>
        </w:rPr>
      </w:pPr>
      <w:r>
        <w:rPr>
          <w:rFonts w:cs="Times New Roman"/>
          <w:color w:val="auto"/>
          <w:highlight w:val="none"/>
        </w:rPr>
        <w:t>监测内容</w:t>
      </w:r>
    </w:p>
    <w:p>
      <w:pPr>
        <w:numPr>
          <w:ilvl w:val="0"/>
          <w:numId w:val="24"/>
        </w:numPr>
        <w:ind w:left="0" w:firstLine="480"/>
        <w:rPr>
          <w:rFonts w:cs="Times New Roman"/>
          <w:color w:val="auto"/>
          <w:highlight w:val="none"/>
        </w:rPr>
      </w:pPr>
      <w:r>
        <w:rPr>
          <w:rFonts w:cs="Times New Roman"/>
          <w:color w:val="auto"/>
          <w:highlight w:val="none"/>
        </w:rPr>
        <w:t>防治责任范围监测</w:t>
      </w:r>
    </w:p>
    <w:p>
      <w:pPr>
        <w:ind w:firstLine="480"/>
        <w:rPr>
          <w:rFonts w:cs="Times New Roman"/>
          <w:color w:val="auto"/>
          <w:highlight w:val="none"/>
        </w:rPr>
      </w:pPr>
      <w:r>
        <w:rPr>
          <w:rFonts w:cs="Times New Roman"/>
          <w:color w:val="auto"/>
          <w:highlight w:val="none"/>
        </w:rPr>
        <w:t>工程水土流失防治责任范围包括项目建设区。项目建设区中，</w:t>
      </w:r>
      <w:r>
        <w:rPr>
          <w:rFonts w:hint="eastAsia" w:cs="Times New Roman"/>
          <w:color w:val="auto"/>
          <w:highlight w:val="none"/>
          <w:lang w:eastAsia="zh-CN"/>
        </w:rPr>
        <w:t>绿化防治区</w:t>
      </w:r>
      <w:r>
        <w:rPr>
          <w:rFonts w:hint="eastAsia" w:cs="Times New Roman"/>
          <w:color w:val="auto"/>
          <w:highlight w:val="none"/>
        </w:rPr>
        <w:t>、</w:t>
      </w:r>
      <w:r>
        <w:rPr>
          <w:rFonts w:hint="eastAsia" w:cs="Times New Roman"/>
          <w:color w:val="auto"/>
          <w:highlight w:val="none"/>
          <w:lang w:eastAsia="zh-CN"/>
        </w:rPr>
        <w:t>建构筑物防治区</w:t>
      </w:r>
      <w:r>
        <w:rPr>
          <w:rFonts w:hint="eastAsia" w:cs="Times New Roman"/>
          <w:color w:val="auto"/>
          <w:highlight w:val="none"/>
        </w:rPr>
        <w:t>和</w:t>
      </w:r>
      <w:r>
        <w:rPr>
          <w:rFonts w:hint="eastAsia" w:cs="Times New Roman"/>
          <w:color w:val="auto"/>
          <w:highlight w:val="none"/>
          <w:lang w:eastAsia="zh-CN"/>
        </w:rPr>
        <w:t>道路及硬化工程防治区</w:t>
      </w:r>
      <w:r>
        <w:rPr>
          <w:rFonts w:cs="Times New Roman"/>
          <w:color w:val="auto"/>
          <w:highlight w:val="none"/>
        </w:rPr>
        <w:t>为永久占地，且永久征地面积保持不变</w:t>
      </w:r>
      <w:r>
        <w:rPr>
          <w:rFonts w:hint="eastAsia" w:cs="Times New Roman"/>
          <w:color w:val="auto"/>
          <w:highlight w:val="none"/>
        </w:rPr>
        <w:t>，</w:t>
      </w:r>
      <w:r>
        <w:rPr>
          <w:rFonts w:hint="eastAsia" w:cs="Times New Roman"/>
          <w:color w:val="auto"/>
          <w:highlight w:val="none"/>
          <w:lang w:eastAsia="zh-CN"/>
        </w:rPr>
        <w:t>绿化防治区</w:t>
      </w:r>
      <w:r>
        <w:rPr>
          <w:rFonts w:hint="eastAsia" w:cs="Times New Roman"/>
          <w:color w:val="auto"/>
          <w:highlight w:val="none"/>
        </w:rPr>
        <w:t>为临时占地，并位于项目红线内，故已</w:t>
      </w:r>
      <w:r>
        <w:rPr>
          <w:rFonts w:cs="Times New Roman"/>
          <w:color w:val="auto"/>
          <w:highlight w:val="none"/>
        </w:rPr>
        <w:t>确定</w:t>
      </w:r>
      <w:r>
        <w:rPr>
          <w:rFonts w:hint="eastAsia" w:cs="Times New Roman"/>
          <w:color w:val="auto"/>
          <w:highlight w:val="none"/>
        </w:rPr>
        <w:t>本</w:t>
      </w:r>
      <w:r>
        <w:rPr>
          <w:rFonts w:cs="Times New Roman"/>
          <w:color w:val="auto"/>
          <w:highlight w:val="none"/>
        </w:rPr>
        <w:t>工程防治责任范围面积。</w:t>
      </w:r>
    </w:p>
    <w:p>
      <w:pPr>
        <w:numPr>
          <w:ilvl w:val="0"/>
          <w:numId w:val="24"/>
        </w:numPr>
        <w:ind w:left="0" w:firstLine="480"/>
        <w:rPr>
          <w:rFonts w:cs="Times New Roman"/>
          <w:color w:val="auto"/>
          <w:highlight w:val="none"/>
        </w:rPr>
      </w:pPr>
      <w:r>
        <w:rPr>
          <w:rFonts w:cs="Times New Roman"/>
          <w:color w:val="auto"/>
          <w:highlight w:val="none"/>
        </w:rPr>
        <w:t>水土流失防治监测</w:t>
      </w:r>
    </w:p>
    <w:p>
      <w:pPr>
        <w:ind w:firstLine="480"/>
        <w:rPr>
          <w:rFonts w:cs="Times New Roman"/>
          <w:color w:val="auto"/>
          <w:highlight w:val="none"/>
        </w:rPr>
      </w:pPr>
      <w:r>
        <w:rPr>
          <w:rFonts w:cs="Times New Roman"/>
          <w:color w:val="auto"/>
          <w:highlight w:val="none"/>
        </w:rPr>
        <w:t>包括水土保持工程措施和植物措施的监测。</w:t>
      </w:r>
    </w:p>
    <w:p>
      <w:pPr>
        <w:ind w:firstLine="480"/>
        <w:rPr>
          <w:rFonts w:cs="Times New Roman"/>
          <w:color w:val="auto"/>
          <w:highlight w:val="none"/>
        </w:rPr>
      </w:pPr>
      <w:r>
        <w:rPr>
          <w:rFonts w:cs="Times New Roman"/>
          <w:color w:val="auto"/>
          <w:highlight w:val="none"/>
        </w:rPr>
        <w:t>项目建设区内的水土保持工程措施（包括临时防护措施）实施数量、质量；防护工程稳定性、完好程度、运行情况；措施的拦渣保土效果。</w:t>
      </w:r>
    </w:p>
    <w:p>
      <w:pPr>
        <w:ind w:firstLine="480"/>
        <w:rPr>
          <w:rFonts w:cs="Times New Roman"/>
          <w:color w:val="auto"/>
          <w:highlight w:val="none"/>
        </w:rPr>
      </w:pPr>
      <w:r>
        <w:rPr>
          <w:rFonts w:cs="Times New Roman"/>
          <w:color w:val="auto"/>
          <w:highlight w:val="none"/>
        </w:rPr>
        <w:t>林草种植面积、成活率、生长情况及覆盖度；扰动地表林草自然恢复情况；植被措施拦渣保土效果。</w:t>
      </w:r>
    </w:p>
    <w:p>
      <w:pPr>
        <w:numPr>
          <w:ilvl w:val="0"/>
          <w:numId w:val="24"/>
        </w:numPr>
        <w:ind w:left="0" w:firstLine="480"/>
        <w:rPr>
          <w:rFonts w:cs="Times New Roman"/>
          <w:color w:val="auto"/>
          <w:highlight w:val="none"/>
        </w:rPr>
      </w:pPr>
      <w:r>
        <w:rPr>
          <w:rFonts w:cs="Times New Roman"/>
          <w:color w:val="auto"/>
          <w:highlight w:val="none"/>
        </w:rPr>
        <w:t>水土保持工程效果监测</w:t>
      </w:r>
    </w:p>
    <w:p>
      <w:pPr>
        <w:ind w:firstLine="480"/>
        <w:rPr>
          <w:rFonts w:cs="Times New Roman"/>
          <w:color w:val="auto"/>
          <w:highlight w:val="none"/>
        </w:rPr>
      </w:pPr>
      <w:r>
        <w:rPr>
          <w:rFonts w:cs="Times New Roman"/>
          <w:color w:val="auto"/>
          <w:highlight w:val="none"/>
        </w:rPr>
        <w:t>包括水土流失防治措施的数量和质量，林草措施成活率、保存率和生长情况及覆盖率，工程措施的稳定性、完好程度、运行情况，各类防治措施的保土效果等。</w:t>
      </w:r>
    </w:p>
    <w:p>
      <w:pPr>
        <w:numPr>
          <w:ilvl w:val="0"/>
          <w:numId w:val="24"/>
        </w:numPr>
        <w:ind w:left="0" w:firstLine="480"/>
        <w:rPr>
          <w:rFonts w:cs="Times New Roman"/>
          <w:color w:val="auto"/>
          <w:highlight w:val="none"/>
        </w:rPr>
      </w:pPr>
      <w:r>
        <w:rPr>
          <w:rFonts w:cs="Times New Roman"/>
          <w:color w:val="auto"/>
          <w:highlight w:val="none"/>
        </w:rPr>
        <w:t>土壤流失量监测</w:t>
      </w:r>
    </w:p>
    <w:p>
      <w:pPr>
        <w:ind w:firstLine="480"/>
        <w:rPr>
          <w:rFonts w:cs="Times New Roman"/>
          <w:color w:val="auto"/>
          <w:highlight w:val="none"/>
        </w:rPr>
      </w:pPr>
      <w:r>
        <w:rPr>
          <w:rFonts w:cs="Times New Roman"/>
          <w:color w:val="auto"/>
          <w:highlight w:val="none"/>
        </w:rPr>
        <w:t>针对不同地表扰动类型的流失特点，对不同地表扰动类型，分别采用标桩法、侵蚀沟样方测量法等进行多点位监测，经综合分析得出不同扰动类型的侵蚀强度及水土流失量。</w:t>
      </w:r>
    </w:p>
    <w:p>
      <w:pPr>
        <w:pStyle w:val="5"/>
        <w:rPr>
          <w:rFonts w:cs="Times New Roman"/>
          <w:color w:val="auto"/>
          <w:highlight w:val="none"/>
        </w:rPr>
      </w:pPr>
      <w:r>
        <w:rPr>
          <w:rFonts w:cs="Times New Roman"/>
          <w:color w:val="auto"/>
          <w:highlight w:val="none"/>
        </w:rPr>
        <w:t>监测方法</w:t>
      </w:r>
    </w:p>
    <w:p>
      <w:pPr>
        <w:ind w:firstLine="480"/>
        <w:rPr>
          <w:rFonts w:cs="Times New Roman"/>
          <w:color w:val="auto"/>
          <w:highlight w:val="none"/>
        </w:rPr>
      </w:pPr>
      <w:r>
        <w:rPr>
          <w:rFonts w:cs="Times New Roman"/>
          <w:color w:val="auto"/>
          <w:highlight w:val="none"/>
        </w:rPr>
        <w:t>本项目监测方法采用调查监测法。</w:t>
      </w:r>
    </w:p>
    <w:p>
      <w:pPr>
        <w:ind w:firstLine="480"/>
        <w:rPr>
          <w:rFonts w:cs="Times New Roman"/>
          <w:color w:val="auto"/>
          <w:highlight w:val="none"/>
        </w:rPr>
      </w:pPr>
      <w:r>
        <w:rPr>
          <w:rFonts w:cs="Times New Roman"/>
          <w:color w:val="auto"/>
          <w:highlight w:val="none"/>
        </w:rPr>
        <w:t>调查监测有实地勘测、抽样调查和典型调查等方法。现场调查主要是调查工程开工后施工期的水土流失及其防治情况，实地勘测主要采用设计资料与重点区域实际调查情况进行对比分析后综合确定。</w:t>
      </w:r>
    </w:p>
    <w:p>
      <w:pPr>
        <w:ind w:firstLine="480"/>
        <w:rPr>
          <w:rFonts w:cs="Times New Roman"/>
          <w:color w:val="auto"/>
          <w:highlight w:val="none"/>
        </w:rPr>
      </w:pPr>
      <w:r>
        <w:rPr>
          <w:rFonts w:cs="Times New Roman"/>
          <w:color w:val="auto"/>
          <w:highlight w:val="none"/>
        </w:rPr>
        <w:t>水土流失防治效果监测方法：通过收集相关工程资料，水土流失防治措施的数量和质量；各项防治措施的效果，林草措施成活率、保存率、生长情况及覆盖率等进行实地样方监测。</w:t>
      </w:r>
    </w:p>
    <w:p>
      <w:pPr>
        <w:ind w:firstLine="480"/>
        <w:rPr>
          <w:rFonts w:cs="Times New Roman"/>
          <w:color w:val="auto"/>
          <w:highlight w:val="none"/>
        </w:rPr>
      </w:pPr>
      <w:r>
        <w:rPr>
          <w:rFonts w:cs="Times New Roman"/>
          <w:color w:val="auto"/>
          <w:highlight w:val="none"/>
        </w:rPr>
        <w:t>水土流失危害监测方法：依据观测数据，运用数理统计方法，结合调查，分析计算工程建设过程中和植被恢复期的水土流失面积、分布、土壤流失量和水土流失强度变化情况，评价对河流下游和周边地区生态环境的影响，以及造成的危害情况等。</w:t>
      </w:r>
    </w:p>
    <w:p>
      <w:pPr>
        <w:ind w:firstLine="480"/>
        <w:rPr>
          <w:rFonts w:cs="Times New Roman"/>
          <w:color w:val="auto"/>
          <w:highlight w:val="none"/>
        </w:rPr>
      </w:pPr>
      <w:r>
        <w:rPr>
          <w:rFonts w:cs="Times New Roman"/>
          <w:color w:val="auto"/>
          <w:highlight w:val="none"/>
        </w:rPr>
        <w:t>上述监测方法基本可行，满足方案要求和工程建设实际。</w:t>
      </w:r>
    </w:p>
    <w:p>
      <w:pPr>
        <w:pStyle w:val="4"/>
        <w:rPr>
          <w:rFonts w:cs="Times New Roman"/>
          <w:color w:val="auto"/>
          <w:highlight w:val="none"/>
        </w:rPr>
      </w:pPr>
      <w:r>
        <w:rPr>
          <w:rFonts w:cs="Times New Roman"/>
          <w:color w:val="auto"/>
          <w:highlight w:val="none"/>
        </w:rPr>
        <w:t>监测点布设与监测实施情况</w:t>
      </w:r>
    </w:p>
    <w:p>
      <w:pPr>
        <w:ind w:firstLine="480"/>
        <w:rPr>
          <w:rFonts w:cs="Times New Roman"/>
          <w:color w:val="auto"/>
          <w:highlight w:val="none"/>
        </w:rPr>
      </w:pPr>
      <w:r>
        <w:rPr>
          <w:rFonts w:cs="Times New Roman"/>
          <w:color w:val="auto"/>
          <w:highlight w:val="none"/>
        </w:rPr>
        <w:t>工程建设对当地水土流失的影响主要是工程施工活动。根据工程建设的实际情况和批复水土保持方案对水土保持监测的要求，结合现场调查，最终确定监测范围为本工程实际发生的防治责任范围。水土流失及其防治监测的重点区域是弃渣场占地区。监测点位布设原则主要以能有效、完整地监测水土流失状况、危害以及各类防治措施的效果为主，以典型水土保持监测为主，重点、一般相结合。</w:t>
      </w:r>
    </w:p>
    <w:p>
      <w:pPr>
        <w:ind w:firstLine="480"/>
        <w:rPr>
          <w:rFonts w:cs="Times New Roman"/>
          <w:color w:val="auto"/>
          <w:highlight w:val="none"/>
        </w:rPr>
      </w:pPr>
      <w:r>
        <w:rPr>
          <w:rFonts w:cs="Times New Roman"/>
          <w:color w:val="auto"/>
          <w:highlight w:val="none"/>
        </w:rPr>
        <w:t>监测点位主要为临时调查监测点位，气象因子观测采用项目区周边已设置的气象观测站进行观测，水文观测采用当地水文部门的水文观测资料，植被状况设置临时监测点位采用调查法进行监测，水土流失量采用调查法和现场巡查法进行监测，其它监测内容采用资料收集、实地量测法或现场巡查法进行调查。</w:t>
      </w:r>
    </w:p>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auto"/>
          <w:highlight w:val="none"/>
        </w:rPr>
        <w:t>在项目区对草地选择典型地块，设置植被样方调查点位，利用样方调查法对植被状况进行调查。共设置植被样方调查点位1个，水土流失量监测点位</w:t>
      </w:r>
      <w:r>
        <w:rPr>
          <w:rFonts w:hint="eastAsia" w:cs="Times New Roman"/>
          <w:color w:val="auto"/>
          <w:highlight w:val="none"/>
        </w:rPr>
        <w:t>2</w:t>
      </w:r>
      <w:r>
        <w:rPr>
          <w:rFonts w:cs="Times New Roman"/>
          <w:color w:val="auto"/>
          <w:highlight w:val="none"/>
        </w:rPr>
        <w:t>个。监测设施布设情况见表6.4-1。</w:t>
      </w:r>
    </w:p>
    <w:p>
      <w:pPr>
        <w:pStyle w:val="15"/>
        <w:rPr>
          <w:rFonts w:cs="Times New Roman"/>
          <w:color w:val="auto"/>
          <w:highlight w:val="none"/>
        </w:rPr>
      </w:pPr>
      <w:r>
        <w:rPr>
          <w:rFonts w:cs="Times New Roman"/>
          <w:color w:val="auto"/>
          <w:highlight w:val="none"/>
        </w:rPr>
        <w:t>表6.4-1  水土保持监测点位及其内容</w:t>
      </w:r>
    </w:p>
    <w:tbl>
      <w:tblPr>
        <w:tblStyle w:val="18"/>
        <w:tblW w:w="928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292"/>
        <w:gridCol w:w="2341"/>
        <w:gridCol w:w="2926"/>
        <w:gridCol w:w="20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序号</w:t>
            </w:r>
          </w:p>
        </w:tc>
        <w:tc>
          <w:tcPr>
            <w:tcW w:w="1292"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监测点位置</w:t>
            </w:r>
          </w:p>
        </w:tc>
        <w:tc>
          <w:tcPr>
            <w:tcW w:w="2341"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监测部位</w:t>
            </w:r>
          </w:p>
        </w:tc>
        <w:tc>
          <w:tcPr>
            <w:tcW w:w="2926"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监测内容</w:t>
            </w:r>
          </w:p>
        </w:tc>
        <w:tc>
          <w:tcPr>
            <w:tcW w:w="2008"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主要监测方法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1</w:t>
            </w:r>
          </w:p>
        </w:tc>
        <w:tc>
          <w:tcPr>
            <w:tcW w:w="1292" w:type="dxa"/>
            <w:tcBorders>
              <w:tl2br w:val="nil"/>
              <w:tr2bl w:val="nil"/>
            </w:tcBorders>
            <w:vAlign w:val="center"/>
          </w:tcPr>
          <w:p>
            <w:pPr>
              <w:pStyle w:val="16"/>
              <w:adjustRightInd w:val="0"/>
              <w:snapToGrid w:val="0"/>
              <w:rPr>
                <w:rFonts w:hint="eastAsia" w:eastAsia="仿宋" w:cs="Times New Roman"/>
                <w:color w:val="auto"/>
                <w:highlight w:val="none"/>
                <w:lang w:eastAsia="zh-CN"/>
              </w:rPr>
            </w:pPr>
            <w:r>
              <w:rPr>
                <w:rFonts w:hint="eastAsia" w:cs="Times New Roman"/>
                <w:color w:val="auto"/>
                <w:highlight w:val="none"/>
                <w:lang w:eastAsia="zh-CN"/>
              </w:rPr>
              <w:t>建构筑物防治区</w:t>
            </w:r>
          </w:p>
        </w:tc>
        <w:tc>
          <w:tcPr>
            <w:tcW w:w="2341"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具有水保功能的</w:t>
            </w:r>
          </w:p>
          <w:p>
            <w:pPr>
              <w:pStyle w:val="16"/>
              <w:adjustRightInd w:val="0"/>
              <w:snapToGrid w:val="0"/>
              <w:rPr>
                <w:rFonts w:cs="Times New Roman"/>
                <w:color w:val="auto"/>
                <w:highlight w:val="none"/>
              </w:rPr>
            </w:pPr>
            <w:r>
              <w:rPr>
                <w:rFonts w:cs="Times New Roman"/>
                <w:color w:val="auto"/>
                <w:highlight w:val="none"/>
              </w:rPr>
              <w:t>工程措施</w:t>
            </w:r>
          </w:p>
        </w:tc>
        <w:tc>
          <w:tcPr>
            <w:tcW w:w="2926"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水土流失量、工程措施运行状况、植被损坏与恢复</w:t>
            </w:r>
          </w:p>
        </w:tc>
        <w:tc>
          <w:tcPr>
            <w:tcW w:w="2008"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现场巡查法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tcBorders>
              <w:tl2br w:val="nil"/>
              <w:tr2bl w:val="nil"/>
            </w:tcBorders>
            <w:vAlign w:val="center"/>
          </w:tcPr>
          <w:p>
            <w:pPr>
              <w:pStyle w:val="16"/>
              <w:adjustRightInd w:val="0"/>
              <w:snapToGrid w:val="0"/>
              <w:rPr>
                <w:rFonts w:cs="Times New Roman"/>
                <w:color w:val="auto"/>
                <w:highlight w:val="none"/>
              </w:rPr>
            </w:pPr>
            <w:r>
              <w:rPr>
                <w:rFonts w:hint="eastAsia" w:cs="Times New Roman"/>
                <w:color w:val="auto"/>
                <w:highlight w:val="none"/>
              </w:rPr>
              <w:t>2</w:t>
            </w:r>
          </w:p>
        </w:tc>
        <w:tc>
          <w:tcPr>
            <w:tcW w:w="1292" w:type="dxa"/>
            <w:tcBorders>
              <w:tl2br w:val="nil"/>
              <w:tr2bl w:val="nil"/>
            </w:tcBorders>
            <w:vAlign w:val="center"/>
          </w:tcPr>
          <w:p>
            <w:pPr>
              <w:pStyle w:val="16"/>
              <w:adjustRightInd w:val="0"/>
              <w:snapToGrid w:val="0"/>
              <w:rPr>
                <w:rFonts w:hint="eastAsia" w:eastAsia="仿宋" w:cs="Times New Roman"/>
                <w:color w:val="auto"/>
                <w:highlight w:val="none"/>
                <w:lang w:eastAsia="zh-CN"/>
              </w:rPr>
            </w:pPr>
            <w:r>
              <w:rPr>
                <w:rFonts w:hint="eastAsia" w:cs="Times New Roman"/>
                <w:color w:val="auto"/>
                <w:highlight w:val="none"/>
                <w:lang w:eastAsia="zh-CN"/>
              </w:rPr>
              <w:t>绿化防治区</w:t>
            </w:r>
          </w:p>
        </w:tc>
        <w:tc>
          <w:tcPr>
            <w:tcW w:w="2341"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具有水保功能的</w:t>
            </w:r>
          </w:p>
          <w:p>
            <w:pPr>
              <w:pStyle w:val="16"/>
              <w:adjustRightInd w:val="0"/>
              <w:snapToGrid w:val="0"/>
              <w:rPr>
                <w:rFonts w:cs="Times New Roman"/>
                <w:color w:val="auto"/>
                <w:highlight w:val="none"/>
              </w:rPr>
            </w:pPr>
            <w:r>
              <w:rPr>
                <w:rFonts w:cs="Times New Roman"/>
                <w:color w:val="auto"/>
                <w:highlight w:val="none"/>
              </w:rPr>
              <w:t>工程措施</w:t>
            </w:r>
          </w:p>
        </w:tc>
        <w:tc>
          <w:tcPr>
            <w:tcW w:w="2926"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水土流失量、工程措施运行状况、植被损坏与恢复</w:t>
            </w:r>
          </w:p>
        </w:tc>
        <w:tc>
          <w:tcPr>
            <w:tcW w:w="2008" w:type="dxa"/>
            <w:tcBorders>
              <w:tl2br w:val="nil"/>
              <w:tr2bl w:val="nil"/>
            </w:tcBorders>
            <w:vAlign w:val="center"/>
          </w:tcPr>
          <w:p>
            <w:pPr>
              <w:pStyle w:val="16"/>
              <w:adjustRightInd w:val="0"/>
              <w:snapToGrid w:val="0"/>
              <w:rPr>
                <w:rFonts w:cs="Times New Roman"/>
                <w:color w:val="auto"/>
                <w:highlight w:val="none"/>
              </w:rPr>
            </w:pPr>
            <w:r>
              <w:rPr>
                <w:rFonts w:cs="Times New Roman"/>
                <w:color w:val="auto"/>
                <w:highlight w:val="none"/>
              </w:rPr>
              <w:t>现场巡查法</w:t>
            </w:r>
          </w:p>
        </w:tc>
      </w:tr>
    </w:tbl>
    <w:p>
      <w:pPr>
        <w:pStyle w:val="4"/>
        <w:rPr>
          <w:rFonts w:cs="Times New Roman"/>
          <w:color w:val="auto"/>
          <w:highlight w:val="none"/>
        </w:rPr>
      </w:pPr>
      <w:r>
        <w:rPr>
          <w:rFonts w:cs="Times New Roman"/>
          <w:color w:val="auto"/>
          <w:highlight w:val="none"/>
        </w:rPr>
        <w:t>监测结果</w:t>
      </w:r>
    </w:p>
    <w:p>
      <w:pPr>
        <w:ind w:firstLine="480"/>
        <w:rPr>
          <w:rFonts w:cs="Times New Roman"/>
          <w:color w:val="auto"/>
          <w:highlight w:val="none"/>
        </w:rPr>
      </w:pPr>
      <w:r>
        <w:rPr>
          <w:rFonts w:cs="Times New Roman"/>
          <w:color w:val="auto"/>
          <w:highlight w:val="none"/>
        </w:rPr>
        <w:t>根据监测结果，工程扰动区域采取水土保持措施后，项目建设区的人为水土流失得到控制，未对周边环境造成水土流失危害。项目建设区扰动土地整治率、水土流失总治理度、土壤流失控制比、</w:t>
      </w:r>
      <w:r>
        <w:rPr>
          <w:rFonts w:hint="eastAsia" w:cs="Times New Roman"/>
          <w:color w:val="auto"/>
          <w:highlight w:val="none"/>
        </w:rPr>
        <w:t>表土保护率</w:t>
      </w:r>
      <w:r>
        <w:rPr>
          <w:rFonts w:cs="Times New Roman"/>
          <w:color w:val="auto"/>
          <w:highlight w:val="none"/>
        </w:rPr>
        <w:t>、林草植被恢复率和林草覆盖率等指标均达并超过到了水土保持方案确定的防治目标。</w:t>
      </w:r>
    </w:p>
    <w:p>
      <w:pPr>
        <w:ind w:firstLine="480"/>
        <w:rPr>
          <w:rFonts w:cs="Times New Roman"/>
          <w:color w:val="auto"/>
          <w:highlight w:val="none"/>
        </w:rPr>
      </w:pPr>
      <w:r>
        <w:rPr>
          <w:rFonts w:cs="Times New Roman"/>
          <w:color w:val="auto"/>
          <w:highlight w:val="none"/>
        </w:rPr>
        <w:t>根据监测结果，项目建设期末，项目</w:t>
      </w:r>
      <w:r>
        <w:rPr>
          <w:rFonts w:hint="eastAsia" w:cs="Times New Roman"/>
          <w:color w:val="auto"/>
          <w:highlight w:val="none"/>
        </w:rPr>
        <w:t>总占地</w:t>
      </w:r>
      <w:r>
        <w:rPr>
          <w:rFonts w:cs="Times New Roman"/>
          <w:color w:val="auto"/>
          <w:highlight w:val="none"/>
        </w:rPr>
        <w:t>面积</w:t>
      </w:r>
      <w:r>
        <w:rPr>
          <w:rFonts w:hint="eastAsia" w:cs="Times New Roman"/>
          <w:color w:val="auto"/>
          <w:highlight w:val="none"/>
          <w:lang w:eastAsia="zh-CN"/>
        </w:rPr>
        <w:t>4.45</w:t>
      </w:r>
      <w:r>
        <w:rPr>
          <w:rFonts w:cs="Times New Roman"/>
          <w:color w:val="auto"/>
          <w:highlight w:val="none"/>
        </w:rPr>
        <w:t>hm</w:t>
      </w:r>
      <w:r>
        <w:rPr>
          <w:rFonts w:hint="eastAsia" w:cs="Times New Roman"/>
          <w:color w:val="auto"/>
          <w:highlight w:val="none"/>
          <w:vertAlign w:val="superscript"/>
        </w:rPr>
        <w:t>2</w:t>
      </w:r>
      <w:r>
        <w:rPr>
          <w:rFonts w:cs="Times New Roman"/>
          <w:color w:val="auto"/>
          <w:highlight w:val="none"/>
        </w:rPr>
        <w:t>，项目建设区</w:t>
      </w:r>
      <w:r>
        <w:rPr>
          <w:rFonts w:hint="eastAsia" w:cs="Times New Roman"/>
          <w:color w:val="auto"/>
          <w:highlight w:val="none"/>
        </w:rPr>
        <w:t>扰动土地整治率</w:t>
      </w:r>
      <w:r>
        <w:rPr>
          <w:rFonts w:hint="eastAsia" w:cs="Times New Roman"/>
          <w:color w:val="auto"/>
          <w:highlight w:val="none"/>
          <w:lang w:eastAsia="zh-CN"/>
        </w:rPr>
        <w:t>99.97</w:t>
      </w:r>
      <w:r>
        <w:rPr>
          <w:rFonts w:hint="eastAsia" w:cs="Times New Roman"/>
          <w:color w:val="auto"/>
          <w:highlight w:val="none"/>
        </w:rPr>
        <w:t>%、水土流失总治理度</w:t>
      </w:r>
      <w:r>
        <w:rPr>
          <w:rFonts w:hint="eastAsia" w:cs="Times New Roman"/>
          <w:color w:val="auto"/>
          <w:highlight w:val="none"/>
          <w:lang w:eastAsia="zh-CN"/>
        </w:rPr>
        <w:t>99.63</w:t>
      </w:r>
      <w:r>
        <w:rPr>
          <w:rFonts w:hint="eastAsia" w:cs="Times New Roman"/>
          <w:color w:val="auto"/>
          <w:highlight w:val="none"/>
        </w:rPr>
        <w:t>%、土壤流失控制比</w:t>
      </w:r>
      <w:r>
        <w:rPr>
          <w:rFonts w:hint="eastAsia" w:cs="Times New Roman"/>
          <w:color w:val="auto"/>
          <w:highlight w:val="none"/>
          <w:lang w:eastAsia="zh-CN"/>
        </w:rPr>
        <w:t>1.23</w:t>
      </w:r>
      <w:r>
        <w:rPr>
          <w:rFonts w:hint="eastAsia" w:cs="Times New Roman"/>
          <w:color w:val="auto"/>
          <w:highlight w:val="none"/>
        </w:rPr>
        <w:t>、拦渣率</w:t>
      </w:r>
      <w:r>
        <w:rPr>
          <w:rFonts w:hint="eastAsia" w:cs="Times New Roman"/>
          <w:color w:val="auto"/>
          <w:highlight w:val="none"/>
          <w:lang w:eastAsia="zh-CN"/>
        </w:rPr>
        <w:t>99.84</w:t>
      </w:r>
      <w:r>
        <w:rPr>
          <w:rFonts w:hint="eastAsia" w:cs="Times New Roman"/>
          <w:color w:val="auto"/>
          <w:highlight w:val="none"/>
        </w:rPr>
        <w:t>%、林草植被恢复率</w:t>
      </w:r>
      <w:r>
        <w:rPr>
          <w:rFonts w:hint="eastAsia" w:cs="Times New Roman"/>
          <w:color w:val="auto"/>
          <w:highlight w:val="none"/>
          <w:lang w:eastAsia="zh-CN"/>
        </w:rPr>
        <w:t>99.61</w:t>
      </w:r>
      <w:r>
        <w:rPr>
          <w:rFonts w:hint="eastAsia" w:cs="Times New Roman"/>
          <w:color w:val="auto"/>
          <w:highlight w:val="none"/>
        </w:rPr>
        <w:t>%、林草覆盖率</w:t>
      </w:r>
      <w:r>
        <w:rPr>
          <w:rFonts w:hint="eastAsia" w:cs="Times New Roman"/>
          <w:color w:val="auto"/>
          <w:highlight w:val="none"/>
          <w:lang w:eastAsia="zh-CN"/>
        </w:rPr>
        <w:t>7.00</w:t>
      </w:r>
      <w:r>
        <w:rPr>
          <w:rFonts w:hint="eastAsia" w:cs="Times New Roman"/>
          <w:color w:val="auto"/>
          <w:highlight w:val="none"/>
        </w:rPr>
        <w:t xml:space="preserve"> %，</w:t>
      </w:r>
      <w:r>
        <w:rPr>
          <w:rFonts w:cs="Times New Roman"/>
          <w:color w:val="auto"/>
          <w:highlight w:val="none"/>
        </w:rPr>
        <w:t>均</w:t>
      </w:r>
      <w:r>
        <w:rPr>
          <w:rFonts w:hint="eastAsia" w:cs="Times New Roman"/>
          <w:color w:val="auto"/>
          <w:highlight w:val="none"/>
        </w:rPr>
        <w:t>已</w:t>
      </w:r>
      <w:r>
        <w:rPr>
          <w:rFonts w:cs="Times New Roman"/>
          <w:color w:val="auto"/>
          <w:highlight w:val="none"/>
        </w:rPr>
        <w:t>超过水土保持方案确定的防治目标值。</w:t>
      </w:r>
    </w:p>
    <w:p>
      <w:pPr>
        <w:pStyle w:val="4"/>
        <w:rPr>
          <w:rFonts w:cs="Times New Roman"/>
          <w:color w:val="auto"/>
          <w:highlight w:val="none"/>
        </w:rPr>
      </w:pPr>
      <w:r>
        <w:rPr>
          <w:rFonts w:cs="Times New Roman"/>
          <w:color w:val="auto"/>
          <w:highlight w:val="none"/>
        </w:rPr>
        <w:t>监测总体评价</w:t>
      </w:r>
    </w:p>
    <w:p>
      <w:pPr>
        <w:ind w:firstLine="480"/>
        <w:rPr>
          <w:rFonts w:cs="Times New Roman"/>
          <w:color w:val="auto"/>
          <w:highlight w:val="none"/>
        </w:rPr>
      </w:pPr>
      <w:r>
        <w:rPr>
          <w:rFonts w:cs="Times New Roman"/>
          <w:color w:val="auto"/>
          <w:highlight w:val="none"/>
        </w:rPr>
        <w:t>验收组通过查阅监测资料认为：</w:t>
      </w:r>
      <w:r>
        <w:rPr>
          <w:rFonts w:hint="eastAsia" w:cs="Times New Roman"/>
          <w:color w:val="auto"/>
          <w:highlight w:val="none"/>
        </w:rPr>
        <w:t>监测单位接到任务后，采用调查监测的方法，对项目区水土流失防治责任范围、水土流失因子、水土流失状况、水土流失防治效果等进行了试运行期的效果监测，并结合主体工程设计资料、施工等资料，于2020年</w:t>
      </w:r>
      <w:r>
        <w:rPr>
          <w:rFonts w:hint="eastAsia" w:cs="Times New Roman"/>
          <w:color w:val="auto"/>
          <w:highlight w:val="none"/>
          <w:lang w:val="en-US" w:eastAsia="zh-CN"/>
        </w:rPr>
        <w:t>7</w:t>
      </w:r>
      <w:r>
        <w:rPr>
          <w:rFonts w:hint="eastAsia" w:cs="Times New Roman"/>
          <w:color w:val="auto"/>
          <w:highlight w:val="none"/>
        </w:rPr>
        <w:t>月编写完成了《</w:t>
      </w:r>
      <w:r>
        <w:rPr>
          <w:rFonts w:hint="eastAsia" w:cs="Times New Roman"/>
          <w:color w:val="auto"/>
          <w:highlight w:val="none"/>
          <w:lang w:eastAsia="zh-CN"/>
        </w:rPr>
        <w:t>上海千缘汽车车身模具有限公司关于汽车零部件制造的项目</w:t>
      </w:r>
      <w:r>
        <w:rPr>
          <w:rFonts w:hint="eastAsia" w:cs="Times New Roman"/>
          <w:color w:val="auto"/>
          <w:highlight w:val="none"/>
        </w:rPr>
        <w:t>水土保持监测总结报告》。监测报告图文并茂，为水行政主管部门监督检查提供有效依据，符合水土保持要求。监测单位完成了对项目建设期水土流失调整、防治措施调查、水土流失数据观测以及相关资料的收集，采取地面观测与实地调查并重、连续观测与动态观测相结合、重点监测与常规调查相结合的方法，实现了对工程建设水土流失状况的全面监测。</w:t>
      </w:r>
    </w:p>
    <w:p>
      <w:pPr>
        <w:ind w:firstLine="480"/>
        <w:rPr>
          <w:rFonts w:cs="Times New Roman"/>
          <w:color w:val="auto"/>
          <w:highlight w:val="none"/>
        </w:rPr>
      </w:pPr>
      <w:r>
        <w:rPr>
          <w:rFonts w:hint="eastAsia" w:cs="Times New Roman"/>
          <w:color w:val="auto"/>
          <w:highlight w:val="none"/>
        </w:rPr>
        <w:t>监测结果经统计分析计算形成阶段性监测成果分析报告，监测单位在总结各阶段监测资料的基础上编制了工程水土保持监测总结报告，为整个项目在建设过程中产生的水土流失影响提供了量化数据，因此，本工程监测结果是真实、客观、合理的。</w:t>
      </w:r>
    </w:p>
    <w:p>
      <w:pPr>
        <w:ind w:firstLine="480"/>
        <w:rPr>
          <w:rFonts w:cs="Times New Roman"/>
          <w:color w:val="auto"/>
          <w:highlight w:val="none"/>
        </w:rPr>
      </w:pPr>
      <w:r>
        <w:rPr>
          <w:rFonts w:hint="eastAsia" w:cs="Times New Roman"/>
          <w:color w:val="auto"/>
          <w:highlight w:val="none"/>
        </w:rPr>
        <w:t>由于水土保持监测工作开展时工程已建设完成，对于已完工程监测单位通过调查监测和巡查方法获得监测数据的方法可行，但监测结果不能全面和准确地反映全部工程建设过程中的水土流失情况。建议建设单位在以后的建设项目中应及时自行或委托相关单位进行水土流失和水土保持的实时监测</w:t>
      </w:r>
      <w:r>
        <w:rPr>
          <w:rFonts w:cs="Times New Roman"/>
          <w:color w:val="auto"/>
          <w:highlight w:val="none"/>
        </w:rPr>
        <w:t>。</w:t>
      </w:r>
    </w:p>
    <w:p>
      <w:pPr>
        <w:pStyle w:val="3"/>
        <w:rPr>
          <w:rFonts w:cs="Times New Roman"/>
          <w:color w:val="auto"/>
          <w:highlight w:val="none"/>
        </w:rPr>
      </w:pPr>
      <w:bookmarkStart w:id="35" w:name="_Toc20023"/>
      <w:r>
        <w:rPr>
          <w:rFonts w:cs="Times New Roman"/>
          <w:color w:val="auto"/>
          <w:highlight w:val="none"/>
        </w:rPr>
        <w:t>水土保持监理</w:t>
      </w:r>
      <w:bookmarkEnd w:id="35"/>
    </w:p>
    <w:p>
      <w:pPr>
        <w:ind w:firstLine="480"/>
        <w:rPr>
          <w:rFonts w:cs="Times New Roman"/>
          <w:color w:val="auto"/>
          <w:highlight w:val="none"/>
        </w:rPr>
      </w:pPr>
      <w:r>
        <w:rPr>
          <w:rFonts w:cs="Times New Roman"/>
          <w:color w:val="auto"/>
          <w:highlight w:val="none"/>
        </w:rPr>
        <w:t>施工过程中，建设单位将委托主体监理单位</w:t>
      </w:r>
      <w:r>
        <w:rPr>
          <w:rFonts w:hint="eastAsia" w:cs="Times New Roman"/>
          <w:color w:val="auto"/>
          <w:highlight w:val="none"/>
          <w:lang w:eastAsia="zh-CN"/>
        </w:rPr>
        <w:t>四川良友建设咨询有限公司</w:t>
      </w:r>
      <w:r>
        <w:rPr>
          <w:rFonts w:hint="eastAsia" w:cs="Times New Roman"/>
          <w:color w:val="auto"/>
          <w:highlight w:val="none"/>
        </w:rPr>
        <w:t>有限公司</w:t>
      </w:r>
      <w:r>
        <w:rPr>
          <w:rFonts w:cs="Times New Roman"/>
          <w:color w:val="auto"/>
          <w:highlight w:val="none"/>
        </w:rPr>
        <w:t>将水土保持工作纳入其监理工作范围，主体监理接受委托后，成立水土保持监理工作组，组织监理人员认真学习了水土保持法律法规，制定了校审制度、会议制度等。</w:t>
      </w:r>
    </w:p>
    <w:p>
      <w:pPr>
        <w:pStyle w:val="4"/>
        <w:rPr>
          <w:rFonts w:cs="Times New Roman"/>
          <w:color w:val="auto"/>
          <w:highlight w:val="none"/>
        </w:rPr>
      </w:pPr>
      <w:r>
        <w:rPr>
          <w:rFonts w:cs="Times New Roman"/>
          <w:color w:val="auto"/>
          <w:highlight w:val="none"/>
        </w:rPr>
        <w:t>监理机构设置及监理制度</w:t>
      </w:r>
    </w:p>
    <w:p>
      <w:pPr>
        <w:ind w:firstLine="480"/>
        <w:rPr>
          <w:rFonts w:cs="Times New Roman"/>
          <w:color w:val="auto"/>
          <w:highlight w:val="none"/>
        </w:rPr>
      </w:pPr>
      <w:r>
        <w:rPr>
          <w:rFonts w:cs="Times New Roman"/>
          <w:color w:val="auto"/>
          <w:highlight w:val="none"/>
        </w:rPr>
        <w:t>监理工作实行总监负责制，根据项目工作量及专业差异，水土保持监理工作组采用总监理工程师负责的直线职能式组织机构，实行总监理工程师领导下的由各专业工程师支持的项目组管理形式。为顺利开展水土保持工作制定了图纸资料审核制度、会议制度、工程质量签认制度、日常巡查制度等制度，通过制定的相关工作制度，统一了工作思路、规范了工作方法。</w:t>
      </w:r>
    </w:p>
    <w:p>
      <w:pPr>
        <w:pStyle w:val="4"/>
        <w:rPr>
          <w:rFonts w:cs="Times New Roman"/>
          <w:color w:val="auto"/>
          <w:highlight w:val="none"/>
        </w:rPr>
      </w:pPr>
      <w:r>
        <w:rPr>
          <w:rFonts w:cs="Times New Roman"/>
          <w:color w:val="auto"/>
          <w:highlight w:val="none"/>
        </w:rPr>
        <w:t>监理工作方式与方法</w:t>
      </w:r>
    </w:p>
    <w:p>
      <w:pPr>
        <w:ind w:firstLine="480"/>
        <w:rPr>
          <w:rFonts w:cs="Times New Roman"/>
          <w:color w:val="auto"/>
          <w:highlight w:val="none"/>
        </w:rPr>
      </w:pPr>
      <w:r>
        <w:rPr>
          <w:rFonts w:cs="Times New Roman"/>
          <w:color w:val="auto"/>
          <w:highlight w:val="none"/>
        </w:rPr>
        <w:t>监理的工作方式与方法主要有以下几种。</w:t>
      </w:r>
    </w:p>
    <w:p>
      <w:pPr>
        <w:ind w:firstLine="480"/>
        <w:rPr>
          <w:rFonts w:cs="Times New Roman"/>
          <w:color w:val="auto"/>
          <w:highlight w:val="none"/>
        </w:rPr>
      </w:pPr>
      <w:r>
        <w:rPr>
          <w:rFonts w:cs="Times New Roman"/>
          <w:color w:val="auto"/>
          <w:highlight w:val="none"/>
        </w:rPr>
        <w:t>现场记录：监理机构认真、完整记录施工现场的人员、设备和材料、天气、施工环境以及施工中出现的各种情况。</w:t>
      </w:r>
    </w:p>
    <w:p>
      <w:pPr>
        <w:ind w:firstLine="480"/>
        <w:rPr>
          <w:rFonts w:cs="Times New Roman"/>
          <w:color w:val="auto"/>
          <w:highlight w:val="none"/>
        </w:rPr>
      </w:pPr>
      <w:r>
        <w:rPr>
          <w:rFonts w:cs="Times New Roman"/>
          <w:color w:val="auto"/>
          <w:highlight w:val="none"/>
        </w:rPr>
        <w:t>发布文件：监理机构采用通知、指示、批复、签认等文件形式进行施工全过程的控制和管理。</w:t>
      </w:r>
    </w:p>
    <w:p>
      <w:pPr>
        <w:ind w:firstLine="480"/>
        <w:rPr>
          <w:rFonts w:cs="Times New Roman"/>
          <w:color w:val="auto"/>
          <w:highlight w:val="none"/>
        </w:rPr>
      </w:pPr>
      <w:r>
        <w:rPr>
          <w:rFonts w:cs="Times New Roman"/>
          <w:color w:val="auto"/>
          <w:highlight w:val="none"/>
        </w:rPr>
        <w:t>旁站监理：监理机构按照监理合同约定，在施工现场对工程项目的重要部位和关键工序的施工，实施连续性的全过程检查、监督与管理。</w:t>
      </w:r>
    </w:p>
    <w:p>
      <w:pPr>
        <w:ind w:firstLine="480"/>
        <w:rPr>
          <w:rFonts w:cs="Times New Roman"/>
          <w:color w:val="auto"/>
          <w:highlight w:val="none"/>
        </w:rPr>
      </w:pPr>
      <w:r>
        <w:rPr>
          <w:rFonts w:cs="Times New Roman"/>
          <w:color w:val="auto"/>
          <w:highlight w:val="none"/>
        </w:rPr>
        <w:t>巡视检验：监理机构对所监理的工程项目进行的定期或不定期的检查、监督和管理。</w:t>
      </w:r>
    </w:p>
    <w:p>
      <w:pPr>
        <w:ind w:firstLine="480"/>
        <w:rPr>
          <w:rFonts w:cs="Times New Roman"/>
          <w:color w:val="auto"/>
          <w:highlight w:val="none"/>
        </w:rPr>
      </w:pPr>
      <w:r>
        <w:rPr>
          <w:rFonts w:cs="Times New Roman"/>
          <w:color w:val="auto"/>
          <w:highlight w:val="none"/>
        </w:rPr>
        <w:t>跟踪检测：在承包人进行试样检测前，监理机构对其检测人员、仪器设备以及拟订的检测程序和方法进行审核；在承包人对试样进行检测时，实施全过程的监督，确认其程序、方法的有效性以及检测结果的可信性，并对该结果确认。</w:t>
      </w:r>
    </w:p>
    <w:p>
      <w:pPr>
        <w:ind w:firstLine="480"/>
        <w:rPr>
          <w:rFonts w:cs="Times New Roman"/>
          <w:color w:val="auto"/>
          <w:highlight w:val="none"/>
        </w:rPr>
      </w:pPr>
      <w:r>
        <w:rPr>
          <w:rFonts w:cs="Times New Roman"/>
          <w:color w:val="auto"/>
          <w:highlight w:val="none"/>
        </w:rPr>
        <w:t>平行检测：监理机构在承包人对试样自行检测的同时，独立抽样进行的检测，核验承包人的检测结果。</w:t>
      </w:r>
    </w:p>
    <w:p>
      <w:pPr>
        <w:ind w:firstLine="480"/>
        <w:rPr>
          <w:rFonts w:cs="Times New Roman"/>
          <w:color w:val="auto"/>
          <w:highlight w:val="none"/>
        </w:rPr>
      </w:pPr>
      <w:r>
        <w:rPr>
          <w:rFonts w:cs="Times New Roman"/>
          <w:color w:val="auto"/>
          <w:highlight w:val="none"/>
        </w:rPr>
        <w:t>协调解决：监理机构对参加工程建设各方之间的关系以及工程施工过程中出现的问题和争议进行的调解。</w:t>
      </w:r>
    </w:p>
    <w:p>
      <w:pPr>
        <w:ind w:firstLine="480"/>
        <w:rPr>
          <w:rFonts w:cs="Times New Roman"/>
          <w:color w:val="auto"/>
          <w:highlight w:val="none"/>
        </w:rPr>
      </w:pPr>
      <w:r>
        <w:rPr>
          <w:rFonts w:cs="Times New Roman"/>
          <w:color w:val="auto"/>
          <w:highlight w:val="none"/>
        </w:rPr>
        <w:t>现场勘查：通过调查现场已建截排水沟等相关工程措施的外观、尺寸、质量及运行状况等工程措施是都满足设计要求及相关规范，调查已实施的撒播草籽、种植灌木等植物措施是否满足设计要求。</w:t>
      </w:r>
    </w:p>
    <w:p>
      <w:pPr>
        <w:pStyle w:val="4"/>
        <w:rPr>
          <w:rFonts w:cs="Times New Roman"/>
          <w:color w:val="auto"/>
          <w:highlight w:val="none"/>
        </w:rPr>
      </w:pPr>
      <w:r>
        <w:rPr>
          <w:rFonts w:cs="Times New Roman"/>
          <w:color w:val="auto"/>
          <w:highlight w:val="none"/>
        </w:rPr>
        <w:t>监理过程</w:t>
      </w:r>
    </w:p>
    <w:p>
      <w:pPr>
        <w:ind w:firstLine="480"/>
        <w:rPr>
          <w:rFonts w:cs="Times New Roman"/>
          <w:color w:val="auto"/>
          <w:highlight w:val="none"/>
        </w:rPr>
      </w:pPr>
      <w:r>
        <w:rPr>
          <w:rFonts w:cs="Times New Roman"/>
          <w:color w:val="auto"/>
          <w:highlight w:val="none"/>
        </w:rPr>
        <w:t>根据合同约定和工程进度要求 ，监理工作严格依据现行规范和标准、施工承包合同、监理服务合同。执行“三控制、两管理、一协调”的监理工作。本工程水土保持监理范围做为各区主体设计的具有水土保持功能和方案新增的各项水土保持措施。监理内容主要包括水土保持措施质量控制、水土保持措施进度控制和水土保持措施投资控制。</w:t>
      </w:r>
    </w:p>
    <w:p>
      <w:pPr>
        <w:ind w:firstLine="480"/>
        <w:rPr>
          <w:rFonts w:cs="Times New Roman"/>
          <w:color w:val="auto"/>
          <w:highlight w:val="none"/>
        </w:rPr>
      </w:pPr>
      <w:r>
        <w:rPr>
          <w:rFonts w:cs="Times New Roman"/>
          <w:color w:val="auto"/>
          <w:highlight w:val="none"/>
        </w:rPr>
        <w:t>监理单位在监理工作中以质量控制为核心，水土保持监理工作方式以巡视为主，旁站为辅，并辅以必要的仪器监测。监理工作中对开工申请、工序质量、中间交工等采取严格检查方法进行监督与控制；对于重要部位、关键工序、隐蔽工程等、实施全过程、全方位、全天候的旁站监理制度，对施工质量进行全面监控，检查承包人的各种施工原始记录并确认并确认，记录好质量监理日志和台账。巡视过程中若发现问题，监理工程师即要求承包人限期整改，并及时跟踪检查。</w:t>
      </w:r>
    </w:p>
    <w:p>
      <w:pPr>
        <w:ind w:firstLine="480"/>
        <w:rPr>
          <w:rFonts w:cs="Times New Roman"/>
          <w:color w:val="auto"/>
          <w:highlight w:val="none"/>
        </w:rPr>
      </w:pPr>
      <w:r>
        <w:rPr>
          <w:rFonts w:cs="Times New Roman"/>
          <w:color w:val="auto"/>
          <w:highlight w:val="none"/>
        </w:rPr>
        <w:t>进度控制主要体现在：按照施工进度计划和措施实施情况，及时督促施工单位实施各项水土保持措施。</w:t>
      </w:r>
    </w:p>
    <w:p>
      <w:pPr>
        <w:ind w:firstLine="480"/>
        <w:rPr>
          <w:rFonts w:cs="Times New Roman"/>
          <w:color w:val="auto"/>
          <w:highlight w:val="none"/>
        </w:rPr>
      </w:pPr>
      <w:r>
        <w:rPr>
          <w:rFonts w:cs="Times New Roman"/>
          <w:color w:val="auto"/>
          <w:highlight w:val="none"/>
        </w:rPr>
        <w:t xml:space="preserve">投资控制：主要通过投资事前控制、事中控制、事后控制来保证水土保持投资落实到位。 </w:t>
      </w:r>
    </w:p>
    <w:p>
      <w:pPr>
        <w:ind w:firstLine="480"/>
        <w:rPr>
          <w:rFonts w:cs="Times New Roman"/>
          <w:color w:val="auto"/>
          <w:highlight w:val="none"/>
        </w:rPr>
      </w:pPr>
      <w:r>
        <w:rPr>
          <w:rFonts w:cs="Times New Roman"/>
          <w:color w:val="auto"/>
          <w:highlight w:val="none"/>
        </w:rPr>
        <w:t>主体监理单位接受本项目水土保持监理工作委托后，制定了相关工作管理体系文件，成立了监理工作组，落实了监理人员，代表监理公司全面负责工程建设中的日常监理事务，履行监理单位的全部职责。在施工过程中，监理项目部总监经常到现场巡视检查工程质量和进度。现场监理人员在质量控制方面抓住了其控制要点，并采取了相应的手段加以控制，实现了对工程建设的全过程监理，使整个项目水土保持项目质量得到了有力的保证。</w:t>
      </w:r>
    </w:p>
    <w:p>
      <w:pPr>
        <w:pStyle w:val="4"/>
        <w:rPr>
          <w:rFonts w:cs="Times New Roman"/>
          <w:color w:val="auto"/>
          <w:highlight w:val="none"/>
        </w:rPr>
      </w:pPr>
      <w:r>
        <w:rPr>
          <w:rFonts w:cs="Times New Roman"/>
          <w:color w:val="auto"/>
          <w:highlight w:val="none"/>
        </w:rPr>
        <w:t>监理成效</w:t>
      </w:r>
    </w:p>
    <w:p>
      <w:pPr>
        <w:ind w:firstLine="480"/>
        <w:rPr>
          <w:rFonts w:cs="Times New Roman"/>
          <w:color w:val="auto"/>
          <w:highlight w:val="none"/>
        </w:rPr>
      </w:pPr>
      <w:r>
        <w:rPr>
          <w:rFonts w:cs="Times New Roman"/>
          <w:color w:val="auto"/>
          <w:highlight w:val="none"/>
        </w:rPr>
        <w:t>水土保持监理单位开展监理工作以来，现场水土保持工作实施情况有所提升，大多数施工区水土保持工作能够积极有效开展，特别是与工程部一起开展水土保持工作大检查以来，采取评分的方式，对各施工单位水土保持工作进行考核，有效的调动了施工单位的积极性，提高了施工单位的水土保持意识。</w:t>
      </w:r>
    </w:p>
    <w:p>
      <w:pPr>
        <w:ind w:firstLine="480"/>
        <w:rPr>
          <w:rFonts w:cs="Times New Roman"/>
          <w:color w:val="auto"/>
          <w:highlight w:val="none"/>
        </w:rPr>
      </w:pPr>
      <w:r>
        <w:rPr>
          <w:rFonts w:cs="Times New Roman"/>
          <w:color w:val="auto"/>
          <w:highlight w:val="none"/>
        </w:rPr>
        <w:t>根据主体监理成果，本项目质量基本符合水土保持设计和有关规范的要求，工程水土保持措施共划分为</w:t>
      </w:r>
      <w:r>
        <w:rPr>
          <w:rFonts w:hint="eastAsia" w:cs="Times New Roman"/>
          <w:color w:val="auto"/>
          <w:highlight w:val="none"/>
          <w:lang w:val="en-US" w:eastAsia="zh-CN"/>
        </w:rPr>
        <w:t>6</w:t>
      </w:r>
      <w:r>
        <w:rPr>
          <w:rFonts w:cs="Times New Roman"/>
          <w:color w:val="auto"/>
          <w:highlight w:val="none"/>
        </w:rPr>
        <w:t>个单位工程，</w:t>
      </w:r>
      <w:r>
        <w:rPr>
          <w:rFonts w:hint="eastAsia" w:cs="Times New Roman"/>
          <w:color w:val="auto"/>
          <w:highlight w:val="none"/>
          <w:lang w:val="en-US" w:eastAsia="zh-CN"/>
        </w:rPr>
        <w:t>8</w:t>
      </w:r>
      <w:r>
        <w:rPr>
          <w:rFonts w:cs="Times New Roman"/>
          <w:color w:val="auto"/>
          <w:highlight w:val="none"/>
        </w:rPr>
        <w:t>个分部工程，</w:t>
      </w:r>
      <w:r>
        <w:rPr>
          <w:rFonts w:hint="eastAsia" w:cs="Times New Roman"/>
          <w:color w:val="auto"/>
          <w:highlight w:val="none"/>
        </w:rPr>
        <w:t>5</w:t>
      </w:r>
      <w:r>
        <w:rPr>
          <w:rFonts w:hint="eastAsia" w:cs="Times New Roman"/>
          <w:color w:val="auto"/>
          <w:highlight w:val="none"/>
          <w:lang w:val="en-US" w:eastAsia="zh-CN"/>
        </w:rPr>
        <w:t>8</w:t>
      </w:r>
      <w:r>
        <w:rPr>
          <w:rFonts w:cs="Times New Roman"/>
          <w:color w:val="auto"/>
          <w:highlight w:val="none"/>
        </w:rPr>
        <w:t>个单元工程。主体已有的水土保持措施在施工过程中业主单位通过加强管理，对工程质量进行把控，经业主自检和监理单位质量评定，水土保持工程措施合格率100%，总体质量等级为合格；水土保持植物措施合格率100%，总体质量等级为合格。</w:t>
      </w:r>
    </w:p>
    <w:p>
      <w:pPr>
        <w:pStyle w:val="4"/>
        <w:rPr>
          <w:rFonts w:cs="Times New Roman"/>
          <w:color w:val="auto"/>
          <w:highlight w:val="none"/>
        </w:rPr>
      </w:pPr>
      <w:r>
        <w:rPr>
          <w:rFonts w:cs="Times New Roman"/>
          <w:color w:val="auto"/>
          <w:highlight w:val="none"/>
        </w:rPr>
        <w:t>监理评价</w:t>
      </w:r>
    </w:p>
    <w:p>
      <w:pPr>
        <w:ind w:firstLine="480"/>
        <w:rPr>
          <w:rFonts w:cs="Times New Roman"/>
          <w:color w:val="auto"/>
          <w:highlight w:val="none"/>
        </w:rPr>
      </w:pPr>
      <w:r>
        <w:rPr>
          <w:rFonts w:cs="Times New Roman"/>
          <w:color w:val="auto"/>
          <w:highlight w:val="none"/>
        </w:rPr>
        <w:t>监理单位通过查阅施工小结、施工进度、主体监理资料以及现场调查等方式开展监理工作。经过对实施的水土保持工程进行现场质量检查并查阅监理单位的单元工程验收记录、质量签证单等资料，认为主体监理的工作可以保证水土保持工程质量满足要求。</w:t>
      </w:r>
    </w:p>
    <w:p>
      <w:pPr>
        <w:ind w:firstLine="480"/>
        <w:rPr>
          <w:rFonts w:cs="Times New Roman"/>
          <w:color w:val="auto"/>
          <w:highlight w:val="none"/>
        </w:rPr>
      </w:pPr>
      <w:r>
        <w:rPr>
          <w:rFonts w:cs="Times New Roman"/>
          <w:color w:val="auto"/>
          <w:highlight w:val="none"/>
        </w:rPr>
        <w:t>通过查阅水土保持工程监理工作总结报告，验收组认为，质量控制工作到位，各项水土保持工程施工质量均满足要求，工程质量合格；进度满足要求，投资合理，均未发生安全事故、安全文明施工情况良好，安全工作处于受控状态。</w:t>
      </w:r>
    </w:p>
    <w:p>
      <w:pPr>
        <w:pStyle w:val="3"/>
        <w:rPr>
          <w:rFonts w:cs="Times New Roman"/>
          <w:color w:val="auto"/>
          <w:highlight w:val="none"/>
        </w:rPr>
      </w:pPr>
      <w:bookmarkStart w:id="36" w:name="_Toc22245"/>
      <w:r>
        <w:rPr>
          <w:rFonts w:cs="Times New Roman"/>
          <w:color w:val="auto"/>
          <w:highlight w:val="none"/>
        </w:rPr>
        <w:t>水行政主管部门监督检查意见落实情况</w:t>
      </w:r>
      <w:bookmarkEnd w:id="36"/>
    </w:p>
    <w:p>
      <w:pPr>
        <w:ind w:firstLine="480"/>
        <w:rPr>
          <w:rFonts w:cs="Times New Roman"/>
          <w:color w:val="auto"/>
          <w:highlight w:val="none"/>
        </w:rPr>
      </w:pPr>
      <w:r>
        <w:rPr>
          <w:rFonts w:cs="Times New Roman"/>
          <w:color w:val="auto"/>
          <w:highlight w:val="none"/>
        </w:rPr>
        <w:t>为落实水土保持方案中各项措施，工程所在地各级水土保持部门作了大量工作。工程建设期间，水行政主管部门对工程进行了指导，协助建设单位开展水土保持工作，逐步增强了各参建单位的水土保持意识，建设单位在施工过程中落实了各项水土保持措施，成立水土保持专项监测组并委托监理单位开展工程水土保持监理工作，对做好工程水土保持工作，起到了积极、有效的作用。</w:t>
      </w:r>
    </w:p>
    <w:p>
      <w:pPr>
        <w:pStyle w:val="3"/>
        <w:rPr>
          <w:rFonts w:cs="Times New Roman"/>
          <w:color w:val="auto"/>
          <w:highlight w:val="none"/>
        </w:rPr>
      </w:pPr>
      <w:bookmarkStart w:id="37" w:name="_Toc678"/>
      <w:r>
        <w:rPr>
          <w:rFonts w:cs="Times New Roman"/>
          <w:color w:val="auto"/>
          <w:highlight w:val="none"/>
        </w:rPr>
        <w:t>水土保持补偿费缴纳情况</w:t>
      </w:r>
      <w:bookmarkEnd w:id="37"/>
    </w:p>
    <w:p>
      <w:pPr>
        <w:ind w:firstLine="480"/>
        <w:rPr>
          <w:rFonts w:cs="Times New Roman"/>
          <w:color w:val="auto"/>
          <w:highlight w:val="none"/>
        </w:rPr>
      </w:pPr>
      <w:r>
        <w:rPr>
          <w:rFonts w:cs="Times New Roman"/>
          <w:color w:val="auto"/>
          <w:highlight w:val="none"/>
        </w:rPr>
        <w:t>经核实，建设单位</w:t>
      </w:r>
      <w:r>
        <w:rPr>
          <w:rFonts w:hint="eastAsia" w:cs="Times New Roman"/>
          <w:color w:val="auto"/>
          <w:highlight w:val="none"/>
          <w:lang w:eastAsia="zh-CN"/>
        </w:rPr>
        <w:t>成都润嘉汽车部件有限公司</w:t>
      </w:r>
      <w:r>
        <w:rPr>
          <w:rFonts w:cs="Times New Roman"/>
          <w:color w:val="auto"/>
          <w:highlight w:val="none"/>
        </w:rPr>
        <w:t>已按照水土保持方案批复，按时足额缴纳了本项目的水土保持补偿费</w:t>
      </w:r>
      <w:r>
        <w:rPr>
          <w:rFonts w:hint="eastAsia" w:cs="Times New Roman"/>
          <w:color w:val="auto"/>
          <w:highlight w:val="none"/>
          <w:lang w:eastAsia="zh-CN"/>
        </w:rPr>
        <w:t>8.90</w:t>
      </w:r>
      <w:r>
        <w:rPr>
          <w:rFonts w:cs="Times New Roman"/>
          <w:color w:val="auto"/>
          <w:highlight w:val="none"/>
        </w:rPr>
        <w:t>万元。详见附件。</w:t>
      </w:r>
    </w:p>
    <w:p>
      <w:pPr>
        <w:pStyle w:val="3"/>
        <w:rPr>
          <w:rFonts w:cs="Times New Roman"/>
          <w:color w:val="auto"/>
          <w:highlight w:val="none"/>
        </w:rPr>
      </w:pPr>
      <w:bookmarkStart w:id="38" w:name="_Toc9330"/>
      <w:r>
        <w:rPr>
          <w:rFonts w:cs="Times New Roman"/>
          <w:color w:val="auto"/>
          <w:highlight w:val="none"/>
        </w:rPr>
        <w:t>水土保持设施管理维护</w:t>
      </w:r>
      <w:bookmarkEnd w:id="38"/>
    </w:p>
    <w:p>
      <w:pPr>
        <w:ind w:firstLine="480"/>
        <w:rPr>
          <w:rFonts w:cs="Times New Roman"/>
          <w:color w:val="auto"/>
          <w:highlight w:val="none"/>
        </w:rPr>
      </w:pPr>
      <w:r>
        <w:rPr>
          <w:rFonts w:hint="eastAsia" w:cs="Times New Roman"/>
          <w:color w:val="auto"/>
          <w:highlight w:val="none"/>
          <w:lang w:eastAsia="zh-CN"/>
        </w:rPr>
        <w:t>成都润嘉汽车部件有限公司</w:t>
      </w:r>
      <w:r>
        <w:rPr>
          <w:rFonts w:cs="Times New Roman"/>
          <w:color w:val="auto"/>
          <w:highlight w:val="none"/>
        </w:rPr>
        <w:t>作为工程的建设单位，对项目水土保持工作非常重视，把水土保持工作作为项目建设和管理的重要组成部分。在项目建设过程中，公司将有关水土保持工程及要求纳入主体工程建设计划中，在公司监督管理部门配备了水土保持专职人员，积极根据《中华人民共和国水土保持法》中“谁造成水土流失，谁负责治理”的原则，组织实施了</w:t>
      </w:r>
      <w:r>
        <w:rPr>
          <w:rFonts w:hint="eastAsia" w:cs="Times New Roman"/>
          <w:color w:val="auto"/>
          <w:highlight w:val="none"/>
          <w:lang w:eastAsia="zh-CN"/>
        </w:rPr>
        <w:t>上海千缘汽车车身模具有限公司关于汽车零部件制造的项目</w:t>
      </w:r>
      <w:r>
        <w:rPr>
          <w:rFonts w:cs="Times New Roman"/>
          <w:color w:val="auto"/>
          <w:highlight w:val="none"/>
        </w:rPr>
        <w:t>水土保持工程。水土保持专职人员由公司统一领导，以规范水土保持工程施工。</w:t>
      </w:r>
    </w:p>
    <w:p>
      <w:pPr>
        <w:ind w:firstLine="480"/>
        <w:rPr>
          <w:rFonts w:cs="Times New Roman"/>
          <w:color w:val="auto"/>
          <w:highlight w:val="none"/>
        </w:rPr>
      </w:pPr>
      <w:r>
        <w:rPr>
          <w:rFonts w:cs="Times New Roman"/>
          <w:color w:val="auto"/>
          <w:highlight w:val="none"/>
        </w:rPr>
        <w:t>水土保持设施在试运行期间的管护工作</w:t>
      </w:r>
      <w:r>
        <w:rPr>
          <w:rFonts w:hint="eastAsia" w:cs="Times New Roman"/>
          <w:color w:val="auto"/>
          <w:highlight w:val="none"/>
          <w:lang w:eastAsia="zh-CN"/>
        </w:rPr>
        <w:t>成都润嘉汽车部件有限公司</w:t>
      </w:r>
      <w:r>
        <w:rPr>
          <w:rFonts w:cs="Times New Roman"/>
          <w:color w:val="auto"/>
          <w:highlight w:val="none"/>
        </w:rPr>
        <w:t>负责，管护单位制定有相应的规章制度、对工程措施维护、林灌草植被养护和养护设施要求，并安排管护人员进行现场巡视，具体负责水土保持设施管理维护，制定的具体措施如下：</w:t>
      </w:r>
    </w:p>
    <w:p>
      <w:pPr>
        <w:numPr>
          <w:ilvl w:val="0"/>
          <w:numId w:val="25"/>
        </w:numPr>
        <w:ind w:left="0" w:firstLine="480"/>
        <w:rPr>
          <w:rFonts w:cs="Times New Roman"/>
          <w:color w:val="auto"/>
          <w:highlight w:val="none"/>
        </w:rPr>
      </w:pPr>
      <w:r>
        <w:rPr>
          <w:rFonts w:cs="Times New Roman"/>
          <w:color w:val="auto"/>
          <w:highlight w:val="none"/>
        </w:rPr>
        <w:t>档案管理</w:t>
      </w:r>
    </w:p>
    <w:p>
      <w:pPr>
        <w:ind w:firstLine="480"/>
        <w:rPr>
          <w:rFonts w:cs="Times New Roman"/>
          <w:color w:val="auto"/>
          <w:highlight w:val="none"/>
        </w:rPr>
      </w:pPr>
      <w:r>
        <w:rPr>
          <w:rFonts w:cs="Times New Roman"/>
          <w:color w:val="auto"/>
          <w:highlight w:val="none"/>
        </w:rPr>
        <w:t>由于本工程水土保持设施主要为主体工程中具有水土保持功能的措施，其档案由档案部专职人员负责管理。各种水土保持资料、文本，特别是水土保持方案及其批复、初步设计文件及批复等重要文件均已归档保存。</w:t>
      </w:r>
    </w:p>
    <w:p>
      <w:pPr>
        <w:numPr>
          <w:ilvl w:val="0"/>
          <w:numId w:val="25"/>
        </w:numPr>
        <w:ind w:left="0" w:firstLine="480"/>
        <w:rPr>
          <w:rFonts w:cs="Times New Roman"/>
          <w:color w:val="auto"/>
          <w:highlight w:val="none"/>
        </w:rPr>
      </w:pPr>
      <w:r>
        <w:rPr>
          <w:rFonts w:cs="Times New Roman"/>
          <w:color w:val="auto"/>
          <w:highlight w:val="none"/>
        </w:rPr>
        <w:t>巡查记录</w:t>
      </w:r>
    </w:p>
    <w:p>
      <w:pPr>
        <w:ind w:firstLine="480"/>
        <w:rPr>
          <w:rFonts w:cs="Times New Roman"/>
          <w:color w:val="auto"/>
          <w:highlight w:val="none"/>
        </w:rPr>
      </w:pPr>
      <w:r>
        <w:rPr>
          <w:rFonts w:cs="Times New Roman"/>
          <w:color w:val="auto"/>
          <w:highlight w:val="none"/>
        </w:rPr>
        <w:t>由专人负责，对各项水土保持设施进行定期巡查，并作好记录，记录与水土保持工作有关的事项。发现问题及时上报处理。</w:t>
      </w:r>
    </w:p>
    <w:p>
      <w:pPr>
        <w:numPr>
          <w:ilvl w:val="0"/>
          <w:numId w:val="25"/>
        </w:numPr>
        <w:ind w:left="0" w:firstLine="480"/>
        <w:rPr>
          <w:rFonts w:cs="Times New Roman"/>
          <w:color w:val="auto"/>
          <w:highlight w:val="none"/>
        </w:rPr>
      </w:pPr>
      <w:r>
        <w:rPr>
          <w:rFonts w:cs="Times New Roman"/>
          <w:color w:val="auto"/>
          <w:highlight w:val="none"/>
        </w:rPr>
        <w:t>及时维修</w:t>
      </w:r>
    </w:p>
    <w:p>
      <w:pPr>
        <w:ind w:firstLine="480"/>
        <w:rPr>
          <w:rFonts w:cs="Times New Roman"/>
          <w:color w:val="auto"/>
          <w:highlight w:val="none"/>
        </w:rPr>
      </w:pPr>
      <w:r>
        <w:rPr>
          <w:rFonts w:cs="Times New Roman"/>
          <w:color w:val="auto"/>
          <w:highlight w:val="none"/>
        </w:rPr>
        <w:t>如发现水土保持设施遭到破坏，及时进行维护、加固和改造，以确保项目及水土保持设施安全运行，有效控制运行过程中的水土流失。</w:t>
      </w:r>
    </w:p>
    <w:p>
      <w:pPr>
        <w:ind w:firstLine="480"/>
        <w:rPr>
          <w:rFonts w:cs="Times New Roman"/>
          <w:color w:val="auto"/>
          <w:highlight w:val="none"/>
        </w:rPr>
      </w:pPr>
      <w:r>
        <w:rPr>
          <w:rFonts w:cs="Times New Roman"/>
          <w:color w:val="auto"/>
          <w:highlight w:val="none"/>
        </w:rPr>
        <w:t>从水土保持设施运行情况来看，已建成的水土保持设施运行正常，水土保持设施管护工作已落实到位，管理工作效果明显。验收组认为运行单位作到了组织落实、制度落实、人员落实、任务落实、经费落实，保证了水土保持设施的正常运行和水土保持效益的持续发挥。</w:t>
      </w:r>
    </w:p>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auto"/>
          <w:highlight w:val="none"/>
        </w:rPr>
        <w:t>整体看水土保持工程措施质量合格，工程运行管理单位职责已落实，运行情况良好，满足水土保持措施竣工验收的要求。</w:t>
      </w:r>
    </w:p>
    <w:p>
      <w:pPr>
        <w:pStyle w:val="2"/>
        <w:rPr>
          <w:rFonts w:cs="Times New Roman"/>
          <w:color w:val="auto"/>
          <w:highlight w:val="none"/>
        </w:rPr>
      </w:pPr>
      <w:bookmarkStart w:id="39" w:name="_Toc11409"/>
      <w:r>
        <w:rPr>
          <w:rFonts w:cs="Times New Roman"/>
          <w:color w:val="auto"/>
          <w:highlight w:val="none"/>
        </w:rPr>
        <w:t>结论</w:t>
      </w:r>
      <w:bookmarkEnd w:id="39"/>
    </w:p>
    <w:p>
      <w:pPr>
        <w:pStyle w:val="3"/>
        <w:rPr>
          <w:rFonts w:cs="Times New Roman"/>
          <w:color w:val="auto"/>
          <w:highlight w:val="none"/>
        </w:rPr>
      </w:pPr>
      <w:bookmarkStart w:id="40" w:name="_Toc30111"/>
      <w:r>
        <w:rPr>
          <w:rFonts w:cs="Times New Roman"/>
          <w:color w:val="auto"/>
          <w:highlight w:val="none"/>
        </w:rPr>
        <w:t>结论</w:t>
      </w:r>
      <w:bookmarkEnd w:id="40"/>
    </w:p>
    <w:p>
      <w:pPr>
        <w:numPr>
          <w:ilvl w:val="0"/>
          <w:numId w:val="26"/>
        </w:numPr>
        <w:ind w:left="0" w:firstLine="480"/>
        <w:rPr>
          <w:rFonts w:cs="Times New Roman"/>
          <w:color w:val="auto"/>
          <w:highlight w:val="none"/>
        </w:rPr>
      </w:pPr>
      <w:r>
        <w:rPr>
          <w:rFonts w:cs="Times New Roman"/>
          <w:color w:val="auto"/>
          <w:highlight w:val="none"/>
        </w:rPr>
        <w:t>水土保持制度得以落实</w:t>
      </w:r>
    </w:p>
    <w:p>
      <w:pPr>
        <w:ind w:firstLine="480"/>
        <w:rPr>
          <w:rFonts w:cs="Times New Roman"/>
          <w:color w:val="auto"/>
          <w:highlight w:val="none"/>
        </w:rPr>
      </w:pPr>
      <w:r>
        <w:rPr>
          <w:rFonts w:cs="Times New Roman"/>
          <w:color w:val="auto"/>
          <w:highlight w:val="none"/>
        </w:rPr>
        <w:t>建设单位按照水土保持法律、法规和技术规范、标准要求，及时委托设计单位编报了水土保持方案。建设单位按照批复的水土保持方案积极开展了水土流失的防治工作，本项目水土保持审批手续齐备，管理组织机构完善，制度建设及档案管理规范。按照水土保持要求在施工过程中落实了水土保持方案设计的各项水土保持措施，有效地防治了工程建设期间的新增水土流失。</w:t>
      </w:r>
    </w:p>
    <w:p>
      <w:pPr>
        <w:ind w:firstLine="480"/>
        <w:rPr>
          <w:rFonts w:cs="Times New Roman"/>
          <w:color w:val="auto"/>
          <w:highlight w:val="none"/>
        </w:rPr>
      </w:pPr>
      <w:r>
        <w:rPr>
          <w:rFonts w:cs="Times New Roman"/>
          <w:color w:val="auto"/>
          <w:highlight w:val="none"/>
        </w:rPr>
        <w:t>目前，建设单位已按批复的水土保持设计文件要求，结合工程实际分阶段实施了水土保持各项工程措施和植物措施，验收核查的单位工程、分部工程质量全部合格，合格率100％，达到了水土流失防治要求。</w:t>
      </w:r>
    </w:p>
    <w:p>
      <w:pPr>
        <w:numPr>
          <w:ilvl w:val="0"/>
          <w:numId w:val="26"/>
        </w:numPr>
        <w:ind w:left="0" w:firstLine="480"/>
        <w:rPr>
          <w:rFonts w:cs="Times New Roman"/>
          <w:color w:val="auto"/>
          <w:highlight w:val="none"/>
        </w:rPr>
      </w:pPr>
      <w:r>
        <w:rPr>
          <w:rFonts w:cs="Times New Roman"/>
          <w:color w:val="auto"/>
          <w:highlight w:val="none"/>
        </w:rPr>
        <w:t>工程建设新增水土流失得到有效治理</w:t>
      </w:r>
    </w:p>
    <w:p>
      <w:pPr>
        <w:ind w:firstLine="480"/>
        <w:rPr>
          <w:rFonts w:cs="Times New Roman"/>
          <w:color w:val="auto"/>
          <w:highlight w:val="none"/>
        </w:rPr>
      </w:pPr>
      <w:r>
        <w:rPr>
          <w:rFonts w:cs="Times New Roman"/>
          <w:color w:val="auto"/>
          <w:highlight w:val="none"/>
        </w:rPr>
        <w:t>通过对项目防治责任范围内各项防治措施的综合分析，项目建设区</w:t>
      </w:r>
      <w:r>
        <w:rPr>
          <w:rFonts w:hint="eastAsia" w:cs="Times New Roman"/>
          <w:color w:val="auto"/>
          <w:highlight w:val="none"/>
        </w:rPr>
        <w:t>扰动土地整治率</w:t>
      </w:r>
      <w:r>
        <w:rPr>
          <w:rFonts w:hint="eastAsia" w:cs="Times New Roman"/>
          <w:color w:val="auto"/>
          <w:highlight w:val="none"/>
          <w:lang w:eastAsia="zh-CN"/>
        </w:rPr>
        <w:t>99.97</w:t>
      </w:r>
      <w:r>
        <w:rPr>
          <w:rFonts w:hint="eastAsia" w:cs="Times New Roman"/>
          <w:color w:val="auto"/>
          <w:highlight w:val="none"/>
        </w:rPr>
        <w:t>%、水土流失总治理度</w:t>
      </w:r>
      <w:r>
        <w:rPr>
          <w:rFonts w:hint="eastAsia" w:cs="Times New Roman"/>
          <w:color w:val="auto"/>
          <w:highlight w:val="none"/>
          <w:lang w:eastAsia="zh-CN"/>
        </w:rPr>
        <w:t>99.63</w:t>
      </w:r>
      <w:r>
        <w:rPr>
          <w:rFonts w:hint="eastAsia" w:cs="Times New Roman"/>
          <w:color w:val="auto"/>
          <w:highlight w:val="none"/>
        </w:rPr>
        <w:t>%、土壤流失控制比</w:t>
      </w:r>
      <w:r>
        <w:rPr>
          <w:rFonts w:hint="eastAsia" w:cs="Times New Roman"/>
          <w:color w:val="auto"/>
          <w:highlight w:val="none"/>
          <w:lang w:eastAsia="zh-CN"/>
        </w:rPr>
        <w:t>1.23</w:t>
      </w:r>
      <w:r>
        <w:rPr>
          <w:rFonts w:hint="eastAsia" w:cs="Times New Roman"/>
          <w:color w:val="auto"/>
          <w:highlight w:val="none"/>
        </w:rPr>
        <w:t>、拦渣率</w:t>
      </w:r>
      <w:r>
        <w:rPr>
          <w:rFonts w:hint="eastAsia" w:cs="Times New Roman"/>
          <w:color w:val="auto"/>
          <w:highlight w:val="none"/>
          <w:lang w:eastAsia="zh-CN"/>
        </w:rPr>
        <w:t>99.84</w:t>
      </w:r>
      <w:r>
        <w:rPr>
          <w:rFonts w:hint="eastAsia" w:cs="Times New Roman"/>
          <w:color w:val="auto"/>
          <w:highlight w:val="none"/>
        </w:rPr>
        <w:t xml:space="preserve"> %、林草植被恢复率</w:t>
      </w:r>
      <w:r>
        <w:rPr>
          <w:rFonts w:hint="eastAsia" w:cs="Times New Roman"/>
          <w:color w:val="auto"/>
          <w:highlight w:val="none"/>
          <w:lang w:eastAsia="zh-CN"/>
        </w:rPr>
        <w:t>99.61</w:t>
      </w:r>
      <w:r>
        <w:rPr>
          <w:rFonts w:hint="eastAsia" w:cs="Times New Roman"/>
          <w:color w:val="auto"/>
          <w:highlight w:val="none"/>
        </w:rPr>
        <w:t>%、林草覆盖率</w:t>
      </w:r>
      <w:r>
        <w:rPr>
          <w:rFonts w:hint="eastAsia" w:cs="Times New Roman"/>
          <w:color w:val="auto"/>
          <w:highlight w:val="none"/>
          <w:lang w:eastAsia="zh-CN"/>
        </w:rPr>
        <w:t>7.00</w:t>
      </w:r>
      <w:r>
        <w:rPr>
          <w:rFonts w:hint="eastAsia" w:cs="Times New Roman"/>
          <w:color w:val="auto"/>
          <w:highlight w:val="none"/>
        </w:rPr>
        <w:t xml:space="preserve"> %，</w:t>
      </w:r>
      <w:r>
        <w:rPr>
          <w:rFonts w:cs="Times New Roman"/>
          <w:color w:val="auto"/>
          <w:highlight w:val="none"/>
        </w:rPr>
        <w:t>工程建设引起的水土流失基本得到控制，各项水土流失防治指标满足水土保持方案确定的防治目标要求。</w:t>
      </w:r>
    </w:p>
    <w:p>
      <w:pPr>
        <w:numPr>
          <w:ilvl w:val="0"/>
          <w:numId w:val="26"/>
        </w:numPr>
        <w:ind w:left="0" w:firstLine="480"/>
        <w:rPr>
          <w:rFonts w:cs="Times New Roman"/>
          <w:color w:val="auto"/>
          <w:highlight w:val="none"/>
        </w:rPr>
      </w:pPr>
      <w:r>
        <w:rPr>
          <w:rFonts w:cs="Times New Roman"/>
          <w:color w:val="auto"/>
          <w:highlight w:val="none"/>
        </w:rPr>
        <w:t>运行期水土保持设施管护责任落实情况</w:t>
      </w:r>
    </w:p>
    <w:p>
      <w:pPr>
        <w:ind w:firstLine="480"/>
        <w:rPr>
          <w:rFonts w:cs="Times New Roman"/>
          <w:color w:val="auto"/>
          <w:highlight w:val="none"/>
        </w:rPr>
      </w:pPr>
      <w:r>
        <w:rPr>
          <w:rFonts w:cs="Times New Roman"/>
          <w:color w:val="auto"/>
          <w:highlight w:val="none"/>
        </w:rPr>
        <w:t>工程建成后，</w:t>
      </w:r>
      <w:r>
        <w:rPr>
          <w:rFonts w:hint="eastAsia" w:cs="Times New Roman"/>
          <w:color w:val="auto"/>
          <w:highlight w:val="none"/>
          <w:lang w:eastAsia="zh-CN"/>
        </w:rPr>
        <w:t>成都润嘉汽车部件有限公司</w:t>
      </w:r>
      <w:r>
        <w:rPr>
          <w:rFonts w:cs="Times New Roman"/>
          <w:color w:val="auto"/>
          <w:highlight w:val="none"/>
        </w:rPr>
        <w:t>负责运行期的运营管理，验收后防治责任范围内的水土保持设施的管护工作也统一纳入其管护范围，管护责任明确，可以保证水土保持功能的持续有效发挥。</w:t>
      </w:r>
    </w:p>
    <w:p>
      <w:pPr>
        <w:ind w:firstLine="480"/>
        <w:rPr>
          <w:rFonts w:cs="Times New Roman"/>
          <w:color w:val="auto"/>
          <w:highlight w:val="none"/>
        </w:rPr>
      </w:pPr>
      <w:r>
        <w:rPr>
          <w:rFonts w:cs="Times New Roman"/>
          <w:color w:val="auto"/>
          <w:highlight w:val="none"/>
        </w:rPr>
        <w:t>综上所述，该项目手续资料齐备，水土保持措施落实完善，水土保持投资满足区域水土保持防治要求，防治效果明显，满足水土保持要求。建设单位履行了水土流失防治的法律义务和责任，水土保持生态环境建设工程符合国家水土保持法律法规、规程规范、技术标准和水土保持方案的有关规定和要求，各项工程安全可靠、质量合格，效益显著，水土保持生态环境建设设施的管理维护责任明确，项目水土保持工程总体质量达到了设计标准。</w:t>
      </w:r>
    </w:p>
    <w:p>
      <w:pPr>
        <w:pStyle w:val="3"/>
        <w:rPr>
          <w:rFonts w:cs="Times New Roman"/>
          <w:color w:val="auto"/>
          <w:highlight w:val="none"/>
        </w:rPr>
      </w:pPr>
      <w:bookmarkStart w:id="41" w:name="_Toc14436"/>
      <w:r>
        <w:rPr>
          <w:rFonts w:cs="Times New Roman"/>
          <w:color w:val="auto"/>
          <w:highlight w:val="none"/>
        </w:rPr>
        <w:t>遗留问题安排</w:t>
      </w:r>
      <w:bookmarkEnd w:id="41"/>
    </w:p>
    <w:p>
      <w:pPr>
        <w:ind w:firstLine="480"/>
        <w:rPr>
          <w:rFonts w:cs="Times New Roman"/>
          <w:color w:val="auto"/>
          <w:highlight w:val="none"/>
        </w:rPr>
      </w:pPr>
      <w:r>
        <w:rPr>
          <w:rFonts w:cs="Times New Roman"/>
          <w:color w:val="auto"/>
          <w:highlight w:val="none"/>
        </w:rPr>
        <w:t>无。</w:t>
      </w:r>
    </w:p>
    <w:p>
      <w:pPr>
        <w:pStyle w:val="3"/>
        <w:rPr>
          <w:rFonts w:cs="Times New Roman"/>
          <w:color w:val="auto"/>
          <w:highlight w:val="none"/>
        </w:rPr>
      </w:pPr>
      <w:bookmarkStart w:id="42" w:name="_Toc4022"/>
      <w:r>
        <w:rPr>
          <w:rFonts w:cs="Times New Roman"/>
          <w:color w:val="auto"/>
          <w:highlight w:val="none"/>
        </w:rPr>
        <w:t>建议</w:t>
      </w:r>
      <w:bookmarkEnd w:id="42"/>
    </w:p>
    <w:p>
      <w:pPr>
        <w:ind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auto"/>
          <w:highlight w:val="none"/>
        </w:rPr>
        <w:t>在运行期定期安排巡视检查，及时排查水土流失隐患，加强已完成水土保持措施的管护工作，确保排水系统、植物措施等水土保持工程持续发挥效益，保证排水畅通。</w:t>
      </w:r>
    </w:p>
    <w:p>
      <w:pPr>
        <w:pStyle w:val="2"/>
        <w:rPr>
          <w:rFonts w:cs="Times New Roman"/>
          <w:color w:val="auto"/>
          <w:highlight w:val="none"/>
        </w:rPr>
      </w:pPr>
      <w:bookmarkStart w:id="43" w:name="_Toc32398"/>
      <w:r>
        <w:rPr>
          <w:rFonts w:cs="Times New Roman"/>
          <w:color w:val="auto"/>
          <w:highlight w:val="none"/>
        </w:rPr>
        <w:t>附件及附图</w:t>
      </w:r>
      <w:bookmarkEnd w:id="43"/>
    </w:p>
    <w:p>
      <w:pPr>
        <w:pStyle w:val="3"/>
        <w:rPr>
          <w:rFonts w:cs="Times New Roman"/>
          <w:color w:val="auto"/>
          <w:highlight w:val="none"/>
        </w:rPr>
      </w:pPr>
      <w:bookmarkStart w:id="44" w:name="_Toc6288"/>
      <w:r>
        <w:rPr>
          <w:rFonts w:cs="Times New Roman"/>
          <w:color w:val="auto"/>
          <w:highlight w:val="none"/>
        </w:rPr>
        <w:t>附件</w:t>
      </w:r>
      <w:bookmarkEnd w:id="44"/>
    </w:p>
    <w:p>
      <w:pPr>
        <w:numPr>
          <w:ilvl w:val="0"/>
          <w:numId w:val="27"/>
        </w:numPr>
        <w:ind w:left="0" w:firstLine="480"/>
        <w:rPr>
          <w:rFonts w:cs="Times New Roman"/>
          <w:color w:val="auto"/>
          <w:highlight w:val="none"/>
        </w:rPr>
      </w:pPr>
      <w:r>
        <w:rPr>
          <w:rFonts w:cs="Times New Roman"/>
          <w:color w:val="auto"/>
          <w:highlight w:val="none"/>
        </w:rPr>
        <w:t>委托书</w:t>
      </w:r>
    </w:p>
    <w:p>
      <w:pPr>
        <w:numPr>
          <w:ilvl w:val="0"/>
          <w:numId w:val="27"/>
        </w:numPr>
        <w:ind w:left="0" w:firstLine="480"/>
        <w:rPr>
          <w:rFonts w:cs="Times New Roman"/>
          <w:color w:val="auto"/>
          <w:highlight w:val="none"/>
        </w:rPr>
      </w:pPr>
      <w:r>
        <w:rPr>
          <w:rFonts w:cs="Times New Roman"/>
          <w:color w:val="auto"/>
          <w:highlight w:val="none"/>
        </w:rPr>
        <w:t>项目建设及水土保持大事记</w:t>
      </w:r>
    </w:p>
    <w:p>
      <w:pPr>
        <w:numPr>
          <w:ilvl w:val="0"/>
          <w:numId w:val="27"/>
        </w:numPr>
        <w:ind w:left="0" w:firstLine="480"/>
        <w:rPr>
          <w:rFonts w:cs="Times New Roman"/>
          <w:color w:val="auto"/>
          <w:highlight w:val="none"/>
        </w:rPr>
      </w:pPr>
      <w:r>
        <w:rPr>
          <w:rFonts w:hint="eastAsia" w:cs="Times New Roman"/>
          <w:color w:val="auto"/>
          <w:highlight w:val="none"/>
        </w:rPr>
        <w:t>立项</w:t>
      </w:r>
      <w:r>
        <w:rPr>
          <w:rFonts w:cs="Times New Roman"/>
          <w:color w:val="auto"/>
          <w:highlight w:val="none"/>
        </w:rPr>
        <w:t>批复；</w:t>
      </w:r>
    </w:p>
    <w:p>
      <w:pPr>
        <w:numPr>
          <w:ilvl w:val="0"/>
          <w:numId w:val="27"/>
        </w:numPr>
        <w:ind w:left="0" w:firstLine="480"/>
        <w:rPr>
          <w:rFonts w:cs="Times New Roman"/>
          <w:color w:val="auto"/>
          <w:highlight w:val="none"/>
        </w:rPr>
      </w:pPr>
      <w:r>
        <w:rPr>
          <w:rFonts w:hint="eastAsia" w:cs="Times New Roman"/>
          <w:color w:val="auto"/>
          <w:highlight w:val="none"/>
        </w:rPr>
        <w:t>水土保持方案</w:t>
      </w:r>
      <w:r>
        <w:rPr>
          <w:rFonts w:cs="Times New Roman"/>
          <w:color w:val="auto"/>
          <w:highlight w:val="none"/>
        </w:rPr>
        <w:t>批复（号）；</w:t>
      </w:r>
    </w:p>
    <w:p>
      <w:pPr>
        <w:numPr>
          <w:ilvl w:val="0"/>
          <w:numId w:val="27"/>
        </w:numPr>
        <w:ind w:left="0" w:firstLine="480"/>
        <w:rPr>
          <w:rFonts w:cs="Times New Roman"/>
          <w:color w:val="auto"/>
          <w:highlight w:val="none"/>
        </w:rPr>
      </w:pPr>
      <w:r>
        <w:rPr>
          <w:rFonts w:hint="eastAsia" w:cs="Times New Roman"/>
          <w:color w:val="auto"/>
          <w:highlight w:val="none"/>
        </w:rPr>
        <w:t>施工许可证</w:t>
      </w:r>
      <w:r>
        <w:rPr>
          <w:rFonts w:cs="Times New Roman"/>
          <w:color w:val="auto"/>
          <w:highlight w:val="none"/>
        </w:rPr>
        <w:t>；</w:t>
      </w:r>
    </w:p>
    <w:p>
      <w:pPr>
        <w:numPr>
          <w:ilvl w:val="0"/>
          <w:numId w:val="27"/>
        </w:numPr>
        <w:ind w:left="0" w:firstLine="480"/>
        <w:rPr>
          <w:rFonts w:cs="Times New Roman"/>
          <w:color w:val="auto"/>
          <w:highlight w:val="none"/>
        </w:rPr>
      </w:pPr>
      <w:r>
        <w:rPr>
          <w:rFonts w:cs="Times New Roman"/>
          <w:color w:val="auto"/>
          <w:highlight w:val="none"/>
        </w:rPr>
        <w:t>单位工程验收签证资料；</w:t>
      </w:r>
    </w:p>
    <w:p>
      <w:pPr>
        <w:numPr>
          <w:ilvl w:val="0"/>
          <w:numId w:val="27"/>
        </w:numPr>
        <w:ind w:left="0" w:firstLine="480"/>
        <w:rPr>
          <w:rFonts w:cs="Times New Roman"/>
          <w:color w:val="auto"/>
          <w:highlight w:val="none"/>
        </w:rPr>
      </w:pPr>
      <w:r>
        <w:rPr>
          <w:rFonts w:cs="Times New Roman"/>
          <w:color w:val="auto"/>
          <w:highlight w:val="none"/>
        </w:rPr>
        <w:t>分部工程验收签证资料；</w:t>
      </w:r>
    </w:p>
    <w:p>
      <w:pPr>
        <w:numPr>
          <w:ilvl w:val="0"/>
          <w:numId w:val="27"/>
        </w:numPr>
        <w:ind w:left="0" w:firstLine="480"/>
        <w:rPr>
          <w:rFonts w:cs="Times New Roman"/>
          <w:color w:val="auto"/>
          <w:highlight w:val="none"/>
        </w:rPr>
      </w:pPr>
      <w:r>
        <w:rPr>
          <w:rFonts w:cs="Times New Roman"/>
          <w:color w:val="auto"/>
          <w:highlight w:val="none"/>
        </w:rPr>
        <w:t>单元工程质量评定表；</w:t>
      </w:r>
    </w:p>
    <w:p>
      <w:pPr>
        <w:numPr>
          <w:ilvl w:val="0"/>
          <w:numId w:val="27"/>
        </w:numPr>
        <w:ind w:left="0" w:firstLine="480"/>
        <w:rPr>
          <w:rFonts w:cs="Times New Roman"/>
          <w:color w:val="auto"/>
          <w:highlight w:val="none"/>
        </w:rPr>
      </w:pPr>
      <w:r>
        <w:rPr>
          <w:rFonts w:cs="Times New Roman"/>
          <w:color w:val="auto"/>
          <w:highlight w:val="none"/>
        </w:rPr>
        <w:t>补偿费缴纳凭证；</w:t>
      </w:r>
    </w:p>
    <w:p>
      <w:pPr>
        <w:numPr>
          <w:ilvl w:val="0"/>
          <w:numId w:val="27"/>
        </w:numPr>
        <w:ind w:left="0" w:firstLine="480"/>
        <w:rPr>
          <w:rFonts w:cs="Times New Roman"/>
          <w:color w:val="auto"/>
          <w:highlight w:val="none"/>
        </w:rPr>
      </w:pPr>
      <w:r>
        <w:rPr>
          <w:rFonts w:hint="eastAsia" w:cs="Times New Roman"/>
          <w:color w:val="auto"/>
          <w:highlight w:val="none"/>
        </w:rPr>
        <w:t>现场照片</w:t>
      </w:r>
      <w:r>
        <w:rPr>
          <w:rFonts w:cs="Times New Roman"/>
          <w:color w:val="auto"/>
          <w:highlight w:val="none"/>
        </w:rPr>
        <w:t>。</w:t>
      </w:r>
    </w:p>
    <w:p>
      <w:pPr>
        <w:pStyle w:val="3"/>
        <w:rPr>
          <w:rFonts w:cs="Times New Roman"/>
          <w:color w:val="auto"/>
          <w:highlight w:val="none"/>
        </w:rPr>
      </w:pPr>
      <w:bookmarkStart w:id="45" w:name="_Toc2074"/>
      <w:r>
        <w:rPr>
          <w:rFonts w:cs="Times New Roman"/>
          <w:color w:val="auto"/>
          <w:highlight w:val="none"/>
        </w:rPr>
        <w:t>附图</w:t>
      </w:r>
      <w:bookmarkEnd w:id="45"/>
    </w:p>
    <w:p>
      <w:pPr>
        <w:numPr>
          <w:ilvl w:val="0"/>
          <w:numId w:val="28"/>
        </w:numPr>
        <w:ind w:left="0" w:firstLine="480"/>
        <w:rPr>
          <w:rFonts w:cs="Times New Roman"/>
          <w:color w:val="auto"/>
          <w:highlight w:val="none"/>
        </w:rPr>
      </w:pPr>
      <w:r>
        <w:rPr>
          <w:rFonts w:cs="Times New Roman"/>
          <w:color w:val="auto"/>
          <w:highlight w:val="none"/>
        </w:rPr>
        <w:t>工程地理位置图</w:t>
      </w:r>
    </w:p>
    <w:p>
      <w:pPr>
        <w:numPr>
          <w:ilvl w:val="0"/>
          <w:numId w:val="28"/>
        </w:numPr>
        <w:ind w:left="0" w:firstLine="480"/>
        <w:rPr>
          <w:rFonts w:cs="Times New Roman"/>
          <w:color w:val="auto"/>
          <w:highlight w:val="none"/>
        </w:rPr>
      </w:pPr>
      <w:r>
        <w:rPr>
          <w:rFonts w:cs="Times New Roman"/>
          <w:color w:val="auto"/>
          <w:highlight w:val="none"/>
        </w:rPr>
        <w:t>工程施工总平面布置图</w:t>
      </w:r>
    </w:p>
    <w:p>
      <w:pPr>
        <w:numPr>
          <w:ilvl w:val="0"/>
          <w:numId w:val="28"/>
        </w:numPr>
        <w:ind w:left="0" w:firstLine="480"/>
        <w:rPr>
          <w:rFonts w:cs="Times New Roman"/>
          <w:color w:val="auto"/>
          <w:highlight w:val="none"/>
        </w:rPr>
      </w:pPr>
      <w:r>
        <w:rPr>
          <w:rFonts w:cs="Times New Roman"/>
          <w:color w:val="auto"/>
          <w:highlight w:val="none"/>
        </w:rPr>
        <w:t>水土流失防治责任范围及水土保持措施布设竣工验收图</w:t>
      </w:r>
    </w:p>
    <w:p>
      <w:pPr>
        <w:numPr>
          <w:ilvl w:val="0"/>
          <w:numId w:val="28"/>
        </w:numPr>
        <w:ind w:left="0" w:firstLine="480"/>
        <w:rPr>
          <w:rFonts w:cs="Times New Roman"/>
          <w:color w:val="auto"/>
          <w:highlight w:val="none"/>
        </w:rPr>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auto"/>
          <w:highlight w:val="none"/>
        </w:rPr>
        <w:t>项目建设前后遥感影像</w:t>
      </w:r>
    </w:p>
    <w:p>
      <w:pPr>
        <w:ind w:firstLine="480"/>
        <w:rPr>
          <w:rFonts w:cs="Times New Roman"/>
          <w:color w:val="auto"/>
          <w:highlight w:val="none"/>
        </w:rPr>
      </w:pPr>
    </w:p>
    <w:p>
      <w:pPr>
        <w:rPr>
          <w:color w:val="auto"/>
          <w:highlight w:val="none"/>
        </w:rPr>
      </w:pPr>
    </w:p>
    <w:sectPr>
      <w:pgSz w:w="11906" w:h="16838"/>
      <w:pgMar w:top="1417" w:right="1417" w:bottom="1417" w:left="1417" w:header="851" w:footer="680"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firstLine="360"/>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FrnWARAgAACQQAAA4AAABkcnMvZTJvRG9jLnhtbK1TzY7TMBC+I/EO&#10;lu80aRGrUj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YWudYBECAAAJBAAADgAAAAAAAAABACAA&#10;AAAfAQAAZHJzL2Uyb0RvYy54bWxQSwUGAAAAAAYABgBZAQAAogUAAAAA&#10;">
              <v:fill on="f" focussize="0,0"/>
              <v:stroke on="f" weight="0.5pt"/>
              <v:imagedata o:title=""/>
              <o:lock v:ext="edit" aspectratio="f"/>
              <v:textbox inset="0mm,0mm,0mm,0mm" style="mso-fit-shape-to-text:t;">
                <w:txbxContent>
                  <w:p>
                    <w:pPr>
                      <w:pStyle w:val="7"/>
                      <w:ind w:firstLine="360"/>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firstLine="360"/>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7"/>
                      <w:ind w:firstLine="360"/>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0" w:firstLineChars="0"/>
    </w:pPr>
    <w:r>
      <w:rPr>
        <w:rFonts w:hint="eastAsia"/>
      </w:rPr>
      <w:t>四川兴景水利工程设计有限公司</w: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firstLine="360"/>
                          </w:pPr>
                          <w:r>
                            <w:rPr>
                              <w:rFonts w:hint="eastAsia"/>
                            </w:rPr>
                            <w:fldChar w:fldCharType="begin"/>
                          </w:r>
                          <w:r>
                            <w:rPr>
                              <w:rFonts w:hint="eastAsia"/>
                            </w:rPr>
                            <w:instrText xml:space="preserve"> PAGE  \* MERGEFORMAT </w:instrText>
                          </w:r>
                          <w:r>
                            <w:rPr>
                              <w:rFonts w:hint="eastAsia"/>
                            </w:rPr>
                            <w:fldChar w:fldCharType="separate"/>
                          </w:r>
                          <w:r>
                            <w:t>73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7"/>
                      <w:ind w:firstLine="360"/>
                    </w:pPr>
                    <w:r>
                      <w:rPr>
                        <w:rFonts w:hint="eastAsia"/>
                      </w:rPr>
                      <w:fldChar w:fldCharType="begin"/>
                    </w:r>
                    <w:r>
                      <w:rPr>
                        <w:rFonts w:hint="eastAsia"/>
                      </w:rPr>
                      <w:instrText xml:space="preserve"> PAGE  \* MERGEFORMAT </w:instrText>
                    </w:r>
                    <w:r>
                      <w:rPr>
                        <w:rFonts w:hint="eastAsia"/>
                      </w:rPr>
                      <w:fldChar w:fldCharType="separate"/>
                    </w:r>
                    <w:r>
                      <w:t>73</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pPr>
    <w:r>
      <w:rPr>
        <w:rFonts w:hint="eastAsia"/>
      </w:rPr>
      <w:t>前言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4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4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spacing w:line="240" w:lineRule="auto"/>
      <w:ind w:firstLine="0" w:firstLineChars="0"/>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6" w:space="0"/>
      </w:pBdr>
      <w:spacing w:line="240" w:lineRule="auto"/>
      <w:ind w:firstLine="0" w:firstLineChars="0"/>
    </w:pPr>
    <w:r>
      <w:rPr>
        <w:rFonts w:ascii="Times New Roman" w:hAnsi="Times New Roman" w:cs="Times New Roman"/>
      </w:rPr>
      <w:fldChar w:fldCharType="begin"/>
    </w:r>
    <w:r>
      <w:rPr>
        <w:rFonts w:ascii="Times New Roman" w:hAnsi="Times New Roman" w:cs="Times New Roman"/>
      </w:rPr>
      <w:instrText xml:space="preserve"> STYLEREF  "标题 1" \n  \* MERGEFORMAT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fldChar w:fldCharType="begin"/>
    </w:r>
    <w:r>
      <w:instrText xml:space="preserve"> STYLEREF  "标题 1"  \* MERGEFORMAT </w:instrText>
    </w:r>
    <w:r>
      <w:fldChar w:fldCharType="separate"/>
    </w:r>
    <w:r>
      <w:rPr>
        <w:rFonts w:hint="eastAsia"/>
      </w:rPr>
      <w:t>附件及附图</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F26B4C"/>
    <w:multiLevelType w:val="singleLevel"/>
    <w:tmpl w:val="81F26B4C"/>
    <w:lvl w:ilvl="0" w:tentative="0">
      <w:start w:val="1"/>
      <w:numFmt w:val="decimal"/>
      <w:suff w:val="nothing"/>
      <w:lvlText w:val="%1）"/>
      <w:lvlJc w:val="left"/>
    </w:lvl>
  </w:abstractNum>
  <w:abstractNum w:abstractNumId="1">
    <w:nsid w:val="8246E64D"/>
    <w:multiLevelType w:val="singleLevel"/>
    <w:tmpl w:val="8246E64D"/>
    <w:lvl w:ilvl="0" w:tentative="0">
      <w:start w:val="1"/>
      <w:numFmt w:val="decimal"/>
      <w:suff w:val="nothing"/>
      <w:lvlText w:val="（%1）"/>
      <w:lvlJc w:val="left"/>
    </w:lvl>
  </w:abstractNum>
  <w:abstractNum w:abstractNumId="2">
    <w:nsid w:val="8ADEFDAD"/>
    <w:multiLevelType w:val="singleLevel"/>
    <w:tmpl w:val="8ADEFDAD"/>
    <w:lvl w:ilvl="0" w:tentative="0">
      <w:start w:val="1"/>
      <w:numFmt w:val="decimal"/>
      <w:lvlText w:val="(%1)"/>
      <w:lvlJc w:val="left"/>
      <w:pPr>
        <w:ind w:left="425" w:hanging="425"/>
      </w:pPr>
      <w:rPr>
        <w:rFonts w:hint="default"/>
      </w:rPr>
    </w:lvl>
  </w:abstractNum>
  <w:abstractNum w:abstractNumId="3">
    <w:nsid w:val="92F62703"/>
    <w:multiLevelType w:val="singleLevel"/>
    <w:tmpl w:val="92F62703"/>
    <w:lvl w:ilvl="0" w:tentative="0">
      <w:start w:val="1"/>
      <w:numFmt w:val="decimal"/>
      <w:lvlText w:val="(%1)"/>
      <w:lvlJc w:val="left"/>
      <w:pPr>
        <w:ind w:left="425" w:hanging="425"/>
      </w:pPr>
      <w:rPr>
        <w:rFonts w:hint="default"/>
      </w:rPr>
    </w:lvl>
  </w:abstractNum>
  <w:abstractNum w:abstractNumId="4">
    <w:nsid w:val="956C92B4"/>
    <w:multiLevelType w:val="singleLevel"/>
    <w:tmpl w:val="956C92B4"/>
    <w:lvl w:ilvl="0" w:tentative="0">
      <w:start w:val="1"/>
      <w:numFmt w:val="decimalEnclosedCircleChinese"/>
      <w:suff w:val="nothing"/>
      <w:lvlText w:val="%1　"/>
      <w:lvlJc w:val="left"/>
      <w:pPr>
        <w:ind w:left="0" w:firstLine="397"/>
      </w:pPr>
      <w:rPr>
        <w:rFonts w:hint="eastAsia" w:ascii="Times New Roman" w:hAnsi="Times New Roman"/>
      </w:rPr>
    </w:lvl>
  </w:abstractNum>
  <w:abstractNum w:abstractNumId="5">
    <w:nsid w:val="96B35F10"/>
    <w:multiLevelType w:val="singleLevel"/>
    <w:tmpl w:val="96B35F10"/>
    <w:lvl w:ilvl="0" w:tentative="0">
      <w:start w:val="1"/>
      <w:numFmt w:val="decimalEnclosedCircleChinese"/>
      <w:suff w:val="nothing"/>
      <w:lvlText w:val="%1　"/>
      <w:lvlJc w:val="left"/>
      <w:pPr>
        <w:ind w:left="0" w:firstLine="397"/>
      </w:pPr>
      <w:rPr>
        <w:rFonts w:hint="eastAsia" w:ascii="Times New Roman" w:hAnsi="Times New Roman"/>
      </w:rPr>
    </w:lvl>
  </w:abstractNum>
  <w:abstractNum w:abstractNumId="6">
    <w:nsid w:val="9B4528E8"/>
    <w:multiLevelType w:val="singleLevel"/>
    <w:tmpl w:val="9B4528E8"/>
    <w:lvl w:ilvl="0" w:tentative="0">
      <w:start w:val="1"/>
      <w:numFmt w:val="decimal"/>
      <w:lvlText w:val="(%1)"/>
      <w:lvlJc w:val="left"/>
      <w:pPr>
        <w:ind w:left="425" w:hanging="425"/>
      </w:pPr>
      <w:rPr>
        <w:rFonts w:hint="default"/>
      </w:rPr>
    </w:lvl>
  </w:abstractNum>
  <w:abstractNum w:abstractNumId="7">
    <w:nsid w:val="B4007208"/>
    <w:multiLevelType w:val="singleLevel"/>
    <w:tmpl w:val="B4007208"/>
    <w:lvl w:ilvl="0" w:tentative="0">
      <w:start w:val="1"/>
      <w:numFmt w:val="decimal"/>
      <w:lvlText w:val="(%1)"/>
      <w:lvlJc w:val="left"/>
      <w:pPr>
        <w:ind w:left="425" w:hanging="425"/>
      </w:pPr>
      <w:rPr>
        <w:rFonts w:hint="default"/>
      </w:rPr>
    </w:lvl>
  </w:abstractNum>
  <w:abstractNum w:abstractNumId="8">
    <w:nsid w:val="B9FA1E7C"/>
    <w:multiLevelType w:val="singleLevel"/>
    <w:tmpl w:val="B9FA1E7C"/>
    <w:lvl w:ilvl="0" w:tentative="0">
      <w:start w:val="1"/>
      <w:numFmt w:val="decimal"/>
      <w:lvlText w:val="(%1)"/>
      <w:lvlJc w:val="left"/>
      <w:pPr>
        <w:ind w:left="425" w:hanging="425"/>
      </w:pPr>
      <w:rPr>
        <w:rFonts w:hint="default"/>
      </w:rPr>
    </w:lvl>
  </w:abstractNum>
  <w:abstractNum w:abstractNumId="9">
    <w:nsid w:val="C018C1B1"/>
    <w:multiLevelType w:val="singleLevel"/>
    <w:tmpl w:val="C018C1B1"/>
    <w:lvl w:ilvl="0" w:tentative="0">
      <w:start w:val="1"/>
      <w:numFmt w:val="decimal"/>
      <w:lvlText w:val="(%1)"/>
      <w:lvlJc w:val="left"/>
      <w:pPr>
        <w:ind w:left="425" w:hanging="425"/>
      </w:pPr>
      <w:rPr>
        <w:rFonts w:hint="default"/>
      </w:rPr>
    </w:lvl>
  </w:abstractNum>
  <w:abstractNum w:abstractNumId="10">
    <w:nsid w:val="C19482E3"/>
    <w:multiLevelType w:val="singleLevel"/>
    <w:tmpl w:val="C19482E3"/>
    <w:lvl w:ilvl="0" w:tentative="0">
      <w:start w:val="1"/>
      <w:numFmt w:val="decimal"/>
      <w:lvlText w:val="(%1)"/>
      <w:lvlJc w:val="left"/>
      <w:pPr>
        <w:ind w:left="425" w:hanging="425"/>
      </w:pPr>
      <w:rPr>
        <w:rFonts w:hint="default"/>
      </w:rPr>
    </w:lvl>
  </w:abstractNum>
  <w:abstractNum w:abstractNumId="11">
    <w:nsid w:val="C3043172"/>
    <w:multiLevelType w:val="singleLevel"/>
    <w:tmpl w:val="C3043172"/>
    <w:lvl w:ilvl="0" w:tentative="0">
      <w:start w:val="1"/>
      <w:numFmt w:val="decimalEnclosedCircleChinese"/>
      <w:suff w:val="nothing"/>
      <w:lvlText w:val="%1　"/>
      <w:lvlJc w:val="left"/>
      <w:pPr>
        <w:ind w:left="0" w:firstLine="397"/>
      </w:pPr>
      <w:rPr>
        <w:rFonts w:hint="eastAsia" w:ascii="Times New Roman" w:hAnsi="Times New Roman"/>
      </w:rPr>
    </w:lvl>
  </w:abstractNum>
  <w:abstractNum w:abstractNumId="12">
    <w:nsid w:val="CBEFF09B"/>
    <w:multiLevelType w:val="singleLevel"/>
    <w:tmpl w:val="CBEFF09B"/>
    <w:lvl w:ilvl="0" w:tentative="0">
      <w:start w:val="1"/>
      <w:numFmt w:val="decimal"/>
      <w:lvlText w:val="(%1)"/>
      <w:lvlJc w:val="left"/>
      <w:pPr>
        <w:ind w:left="425" w:hanging="425"/>
      </w:pPr>
      <w:rPr>
        <w:rFonts w:hint="default"/>
      </w:rPr>
    </w:lvl>
  </w:abstractNum>
  <w:abstractNum w:abstractNumId="13">
    <w:nsid w:val="D2EB0C8C"/>
    <w:multiLevelType w:val="singleLevel"/>
    <w:tmpl w:val="D2EB0C8C"/>
    <w:lvl w:ilvl="0" w:tentative="0">
      <w:start w:val="1"/>
      <w:numFmt w:val="decimal"/>
      <w:lvlText w:val="(%1)"/>
      <w:lvlJc w:val="left"/>
      <w:pPr>
        <w:ind w:left="425" w:hanging="425"/>
      </w:pPr>
      <w:rPr>
        <w:rFonts w:hint="default"/>
      </w:rPr>
    </w:lvl>
  </w:abstractNum>
  <w:abstractNum w:abstractNumId="14">
    <w:nsid w:val="D6E60F56"/>
    <w:multiLevelType w:val="singleLevel"/>
    <w:tmpl w:val="D6E60F56"/>
    <w:lvl w:ilvl="0" w:tentative="0">
      <w:start w:val="1"/>
      <w:numFmt w:val="decimal"/>
      <w:suff w:val="nothing"/>
      <w:lvlText w:val="（%1）"/>
      <w:lvlJc w:val="left"/>
    </w:lvl>
  </w:abstractNum>
  <w:abstractNum w:abstractNumId="15">
    <w:nsid w:val="E35AA7F6"/>
    <w:multiLevelType w:val="singleLevel"/>
    <w:tmpl w:val="E35AA7F6"/>
    <w:lvl w:ilvl="0" w:tentative="0">
      <w:start w:val="1"/>
      <w:numFmt w:val="decimal"/>
      <w:lvlText w:val="(%1)"/>
      <w:lvlJc w:val="left"/>
      <w:pPr>
        <w:ind w:left="425" w:hanging="425"/>
      </w:pPr>
      <w:rPr>
        <w:rFonts w:hint="default"/>
      </w:rPr>
    </w:lvl>
  </w:abstractNum>
  <w:abstractNum w:abstractNumId="16">
    <w:nsid w:val="EC21A31B"/>
    <w:multiLevelType w:val="singleLevel"/>
    <w:tmpl w:val="EC21A31B"/>
    <w:lvl w:ilvl="0" w:tentative="0">
      <w:start w:val="1"/>
      <w:numFmt w:val="decimal"/>
      <w:lvlText w:val="(%1)"/>
      <w:lvlJc w:val="left"/>
      <w:pPr>
        <w:ind w:left="425" w:hanging="425"/>
      </w:pPr>
      <w:rPr>
        <w:rFonts w:hint="default"/>
      </w:rPr>
    </w:lvl>
  </w:abstractNum>
  <w:abstractNum w:abstractNumId="17">
    <w:nsid w:val="F579120F"/>
    <w:multiLevelType w:val="singleLevel"/>
    <w:tmpl w:val="F579120F"/>
    <w:lvl w:ilvl="0" w:tentative="0">
      <w:start w:val="1"/>
      <w:numFmt w:val="decimal"/>
      <w:suff w:val="nothing"/>
      <w:lvlText w:val="（%1）"/>
      <w:lvlJc w:val="left"/>
    </w:lvl>
  </w:abstractNum>
  <w:abstractNum w:abstractNumId="18">
    <w:nsid w:val="F9792696"/>
    <w:multiLevelType w:val="singleLevel"/>
    <w:tmpl w:val="F9792696"/>
    <w:lvl w:ilvl="0" w:tentative="0">
      <w:start w:val="1"/>
      <w:numFmt w:val="decimal"/>
      <w:lvlText w:val="(%1)"/>
      <w:lvlJc w:val="left"/>
      <w:pPr>
        <w:ind w:left="425" w:hanging="425"/>
      </w:pPr>
      <w:rPr>
        <w:rFonts w:hint="default"/>
      </w:rPr>
    </w:lvl>
  </w:abstractNum>
  <w:abstractNum w:abstractNumId="19">
    <w:nsid w:val="1ABC0B11"/>
    <w:multiLevelType w:val="singleLevel"/>
    <w:tmpl w:val="1ABC0B11"/>
    <w:lvl w:ilvl="0" w:tentative="0">
      <w:start w:val="1"/>
      <w:numFmt w:val="decimal"/>
      <w:lvlText w:val="(%1)"/>
      <w:lvlJc w:val="left"/>
      <w:pPr>
        <w:ind w:left="425" w:hanging="425"/>
      </w:pPr>
      <w:rPr>
        <w:rFonts w:hint="default"/>
      </w:rPr>
    </w:lvl>
  </w:abstractNum>
  <w:abstractNum w:abstractNumId="20">
    <w:nsid w:val="3FCABECE"/>
    <w:multiLevelType w:val="singleLevel"/>
    <w:tmpl w:val="3FCABECE"/>
    <w:lvl w:ilvl="0" w:tentative="0">
      <w:start w:val="1"/>
      <w:numFmt w:val="decimal"/>
      <w:suff w:val="nothing"/>
      <w:lvlText w:val="%1）"/>
      <w:lvlJc w:val="left"/>
    </w:lvl>
  </w:abstractNum>
  <w:abstractNum w:abstractNumId="21">
    <w:nsid w:val="4119658D"/>
    <w:multiLevelType w:val="singleLevel"/>
    <w:tmpl w:val="4119658D"/>
    <w:lvl w:ilvl="0" w:tentative="0">
      <w:start w:val="1"/>
      <w:numFmt w:val="decimalEnclosedCircleChinese"/>
      <w:suff w:val="nothing"/>
      <w:lvlText w:val="%1　"/>
      <w:lvlJc w:val="left"/>
      <w:pPr>
        <w:ind w:left="0" w:firstLine="397"/>
      </w:pPr>
      <w:rPr>
        <w:rFonts w:hint="eastAsia" w:ascii="Times New Roman" w:hAnsi="Times New Roman"/>
      </w:rPr>
    </w:lvl>
  </w:abstractNum>
  <w:abstractNum w:abstractNumId="22">
    <w:nsid w:val="586CB6FB"/>
    <w:multiLevelType w:val="singleLevel"/>
    <w:tmpl w:val="586CB6FB"/>
    <w:lvl w:ilvl="0" w:tentative="0">
      <w:start w:val="1"/>
      <w:numFmt w:val="decimal"/>
      <w:lvlText w:val="(%1)"/>
      <w:lvlJc w:val="left"/>
      <w:pPr>
        <w:ind w:left="425" w:hanging="425"/>
      </w:pPr>
      <w:rPr>
        <w:rFonts w:hint="default"/>
      </w:rPr>
    </w:lvl>
  </w:abstractNum>
  <w:abstractNum w:abstractNumId="23">
    <w:nsid w:val="5C991321"/>
    <w:multiLevelType w:val="singleLevel"/>
    <w:tmpl w:val="5C991321"/>
    <w:lvl w:ilvl="0" w:tentative="0">
      <w:start w:val="1"/>
      <w:numFmt w:val="decimal"/>
      <w:suff w:val="nothing"/>
      <w:lvlText w:val="（%1）"/>
      <w:lvlJc w:val="left"/>
    </w:lvl>
  </w:abstractNum>
  <w:abstractNum w:abstractNumId="24">
    <w:nsid w:val="668BD519"/>
    <w:multiLevelType w:val="singleLevel"/>
    <w:tmpl w:val="668BD519"/>
    <w:lvl w:ilvl="0" w:tentative="0">
      <w:start w:val="1"/>
      <w:numFmt w:val="decimal"/>
      <w:lvlText w:val="(%1)"/>
      <w:lvlJc w:val="left"/>
      <w:pPr>
        <w:ind w:left="425" w:hanging="425"/>
      </w:pPr>
      <w:rPr>
        <w:rFonts w:hint="default"/>
      </w:rPr>
    </w:lvl>
  </w:abstractNum>
  <w:abstractNum w:abstractNumId="25">
    <w:nsid w:val="6B29CB69"/>
    <w:multiLevelType w:val="singleLevel"/>
    <w:tmpl w:val="6B29CB69"/>
    <w:lvl w:ilvl="0" w:tentative="0">
      <w:start w:val="1"/>
      <w:numFmt w:val="decimal"/>
      <w:suff w:val="nothing"/>
      <w:lvlText w:val="%1）"/>
      <w:lvlJc w:val="left"/>
    </w:lvl>
  </w:abstractNum>
  <w:abstractNum w:abstractNumId="26">
    <w:nsid w:val="7A4DA733"/>
    <w:multiLevelType w:val="singleLevel"/>
    <w:tmpl w:val="7A4DA733"/>
    <w:lvl w:ilvl="0" w:tentative="0">
      <w:start w:val="1"/>
      <w:numFmt w:val="decimal"/>
      <w:suff w:val="nothing"/>
      <w:lvlText w:val="（%1）"/>
      <w:lvlJc w:val="left"/>
    </w:lvl>
  </w:abstractNum>
  <w:abstractNum w:abstractNumId="27">
    <w:nsid w:val="7D0B7173"/>
    <w:multiLevelType w:val="multilevel"/>
    <w:tmpl w:val="7D0B7173"/>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eastAsia"/>
      </w:rPr>
    </w:lvl>
    <w:lvl w:ilvl="2" w:tentative="0">
      <w:start w:val="1"/>
      <w:numFmt w:val="decimal"/>
      <w:pStyle w:val="4"/>
      <w:suff w:val="space"/>
      <w:lvlText w:val="%1.%2.%3"/>
      <w:lvlJc w:val="left"/>
      <w:pPr>
        <w:ind w:left="426" w:firstLine="0"/>
      </w:pPr>
      <w:rPr>
        <w:rFonts w:hint="eastAsia"/>
        <w:sz w:val="24"/>
        <w:szCs w:val="24"/>
      </w:rPr>
    </w:lvl>
    <w:lvl w:ilvl="3" w:tentative="0">
      <w:start w:val="1"/>
      <w:numFmt w:val="decimal"/>
      <w:pStyle w:val="5"/>
      <w:suff w:val="space"/>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27"/>
  </w:num>
  <w:num w:numId="2">
    <w:abstractNumId w:val="13"/>
  </w:num>
  <w:num w:numId="3">
    <w:abstractNumId w:val="1"/>
  </w:num>
  <w:num w:numId="4">
    <w:abstractNumId w:val="18"/>
  </w:num>
  <w:num w:numId="5">
    <w:abstractNumId w:val="10"/>
  </w:num>
  <w:num w:numId="6">
    <w:abstractNumId w:val="17"/>
  </w:num>
  <w:num w:numId="7">
    <w:abstractNumId w:val="14"/>
  </w:num>
  <w:num w:numId="8">
    <w:abstractNumId w:val="26"/>
  </w:num>
  <w:num w:numId="9">
    <w:abstractNumId w:val="12"/>
  </w:num>
  <w:num w:numId="10">
    <w:abstractNumId w:val="8"/>
  </w:num>
  <w:num w:numId="11">
    <w:abstractNumId w:val="19"/>
  </w:num>
  <w:num w:numId="12">
    <w:abstractNumId w:val="20"/>
  </w:num>
  <w:num w:numId="13">
    <w:abstractNumId w:val="0"/>
  </w:num>
  <w:num w:numId="14">
    <w:abstractNumId w:val="25"/>
  </w:num>
  <w:num w:numId="15">
    <w:abstractNumId w:val="2"/>
  </w:num>
  <w:num w:numId="16">
    <w:abstractNumId w:val="21"/>
  </w:num>
  <w:num w:numId="17">
    <w:abstractNumId w:val="11"/>
  </w:num>
  <w:num w:numId="18">
    <w:abstractNumId w:val="5"/>
  </w:num>
  <w:num w:numId="19">
    <w:abstractNumId w:val="15"/>
  </w:num>
  <w:num w:numId="20">
    <w:abstractNumId w:val="4"/>
  </w:num>
  <w:num w:numId="21">
    <w:abstractNumId w:val="23"/>
  </w:num>
  <w:num w:numId="22">
    <w:abstractNumId w:val="6"/>
  </w:num>
  <w:num w:numId="23">
    <w:abstractNumId w:val="9"/>
  </w:num>
  <w:num w:numId="24">
    <w:abstractNumId w:val="7"/>
  </w:num>
  <w:num w:numId="25">
    <w:abstractNumId w:val="22"/>
  </w:num>
  <w:num w:numId="26">
    <w:abstractNumId w:val="16"/>
  </w:num>
  <w:num w:numId="27">
    <w:abstractNumId w:val="24"/>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4C2B8A"/>
    <w:rsid w:val="024C2B8A"/>
    <w:rsid w:val="0E006B33"/>
    <w:rsid w:val="1AEE00B3"/>
    <w:rsid w:val="2D353D33"/>
    <w:rsid w:val="689F2511"/>
    <w:rsid w:val="71C6286A"/>
    <w:rsid w:val="7D83532F"/>
    <w:rsid w:val="7F853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仿宋" w:cstheme="minorBidi"/>
      <w:kern w:val="2"/>
      <w:sz w:val="24"/>
      <w:szCs w:val="24"/>
      <w:lang w:val="en-US" w:eastAsia="zh-CN" w:bidi="ar-SA"/>
    </w:rPr>
  </w:style>
  <w:style w:type="paragraph" w:styleId="2">
    <w:name w:val="heading 1"/>
    <w:basedOn w:val="1"/>
    <w:next w:val="1"/>
    <w:qFormat/>
    <w:uiPriority w:val="9"/>
    <w:pPr>
      <w:keepNext/>
      <w:keepLines/>
      <w:numPr>
        <w:ilvl w:val="0"/>
        <w:numId w:val="1"/>
      </w:numPr>
      <w:spacing w:before="400"/>
      <w:ind w:firstLineChars="0"/>
      <w:jc w:val="center"/>
      <w:outlineLvl w:val="0"/>
    </w:pPr>
    <w:rPr>
      <w:rFonts w:eastAsia="黑体"/>
      <w:bCs/>
      <w:kern w:val="44"/>
      <w:sz w:val="32"/>
      <w:szCs w:val="44"/>
    </w:rPr>
  </w:style>
  <w:style w:type="paragraph" w:styleId="3">
    <w:name w:val="heading 2"/>
    <w:basedOn w:val="1"/>
    <w:next w:val="1"/>
    <w:unhideWhenUsed/>
    <w:qFormat/>
    <w:uiPriority w:val="9"/>
    <w:pPr>
      <w:keepNext/>
      <w:keepLines/>
      <w:numPr>
        <w:ilvl w:val="1"/>
        <w:numId w:val="1"/>
      </w:numPr>
      <w:spacing w:before="300"/>
      <w:ind w:firstLineChars="0"/>
      <w:outlineLvl w:val="1"/>
    </w:pPr>
    <w:rPr>
      <w:rFonts w:eastAsia="黑体" w:cstheme="majorBidi"/>
      <w:bCs/>
      <w:sz w:val="28"/>
      <w:szCs w:val="32"/>
    </w:rPr>
  </w:style>
  <w:style w:type="paragraph" w:styleId="4">
    <w:name w:val="heading 3"/>
    <w:basedOn w:val="1"/>
    <w:next w:val="1"/>
    <w:unhideWhenUsed/>
    <w:qFormat/>
    <w:uiPriority w:val="0"/>
    <w:pPr>
      <w:keepNext/>
      <w:keepLines/>
      <w:numPr>
        <w:ilvl w:val="2"/>
        <w:numId w:val="1"/>
      </w:numPr>
      <w:spacing w:before="240"/>
      <w:ind w:left="0" w:firstLineChars="0"/>
      <w:outlineLvl w:val="2"/>
    </w:pPr>
    <w:rPr>
      <w:rFonts w:eastAsia="黑体"/>
      <w:bCs/>
      <w:szCs w:val="32"/>
    </w:rPr>
  </w:style>
  <w:style w:type="paragraph" w:styleId="5">
    <w:name w:val="heading 4"/>
    <w:basedOn w:val="1"/>
    <w:next w:val="1"/>
    <w:unhideWhenUsed/>
    <w:qFormat/>
    <w:uiPriority w:val="0"/>
    <w:pPr>
      <w:keepNext/>
      <w:keepLines/>
      <w:numPr>
        <w:ilvl w:val="3"/>
        <w:numId w:val="1"/>
      </w:numPr>
      <w:spacing w:before="240"/>
      <w:ind w:firstLineChars="0"/>
      <w:outlineLvl w:val="3"/>
    </w:pPr>
    <w:rPr>
      <w:rFonts w:cstheme="majorBidi"/>
      <w:bCs/>
      <w:szCs w:val="28"/>
    </w:rPr>
  </w:style>
  <w:style w:type="character" w:default="1" w:styleId="13">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caption"/>
    <w:basedOn w:val="1"/>
    <w:next w:val="1"/>
    <w:qFormat/>
    <w:uiPriority w:val="99"/>
    <w:pPr>
      <w:keepNext/>
      <w:spacing w:before="120" w:after="60" w:line="240" w:lineRule="auto"/>
      <w:ind w:firstLine="0" w:firstLineChars="0"/>
      <w:jc w:val="center"/>
    </w:pPr>
    <w:rPr>
      <w:rFonts w:eastAsia="黑体"/>
      <w:sz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99"/>
    <w:pPr>
      <w:pBdr>
        <w:bottom w:val="single" w:color="auto" w:sz="6" w:space="1"/>
      </w:pBdr>
      <w:tabs>
        <w:tab w:val="center" w:pos="4153"/>
        <w:tab w:val="right" w:pos="8306"/>
      </w:tabs>
      <w:snapToGrid w:val="0"/>
      <w:jc w:val="center"/>
    </w:pPr>
    <w:rPr>
      <w:rFonts w:ascii="Arial" w:hAnsi="Arial"/>
      <w:spacing w:val="-4"/>
      <w:sz w:val="18"/>
      <w:szCs w:val="18"/>
    </w:rPr>
  </w:style>
  <w:style w:type="paragraph" w:styleId="9">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10">
    <w:name w:val="toc 2"/>
    <w:basedOn w:val="1"/>
    <w:next w:val="1"/>
    <w:qFormat/>
    <w:uiPriority w:val="39"/>
    <w:pPr>
      <w:ind w:left="240"/>
      <w:jc w:val="left"/>
    </w:pPr>
    <w:rPr>
      <w:rFonts w:asciiTheme="minorHAnsi" w:hAnsiTheme="minorHAnsi" w:cstheme="minorHAnsi"/>
      <w:smallCaps/>
      <w:sz w:val="20"/>
      <w:szCs w:val="20"/>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表文"/>
    <w:basedOn w:val="1"/>
    <w:next w:val="1"/>
    <w:qFormat/>
    <w:uiPriority w:val="0"/>
    <w:pPr>
      <w:spacing w:before="40" w:after="40" w:line="240" w:lineRule="auto"/>
      <w:ind w:firstLine="0" w:firstLineChars="0"/>
      <w:jc w:val="center"/>
    </w:pPr>
    <w:rPr>
      <w:rFonts w:cs="宋体"/>
      <w:sz w:val="18"/>
      <w:szCs w:val="18"/>
    </w:rPr>
  </w:style>
  <w:style w:type="paragraph" w:customStyle="1" w:styleId="15">
    <w:name w:val="表头、图号"/>
    <w:basedOn w:val="16"/>
    <w:qFormat/>
    <w:uiPriority w:val="0"/>
    <w:pPr>
      <w:spacing w:before="120" w:after="60"/>
    </w:pPr>
    <w:rPr>
      <w:rFonts w:eastAsia="黑体"/>
      <w:sz w:val="21"/>
    </w:rPr>
  </w:style>
  <w:style w:type="paragraph" w:customStyle="1" w:styleId="16">
    <w:name w:val="表格"/>
    <w:basedOn w:val="1"/>
    <w:qFormat/>
    <w:uiPriority w:val="0"/>
    <w:pPr>
      <w:spacing w:before="40" w:after="40" w:line="240" w:lineRule="auto"/>
      <w:ind w:firstLine="0" w:firstLineChars="0"/>
      <w:jc w:val="center"/>
    </w:pPr>
    <w:rPr>
      <w:sz w:val="18"/>
      <w:szCs w:val="22"/>
    </w:rPr>
  </w:style>
  <w:style w:type="table" w:customStyle="1" w:styleId="17">
    <w:name w:val="样式11"/>
    <w:basedOn w:val="11"/>
    <w:qFormat/>
    <w:uiPriority w:val="99"/>
    <w:rPr>
      <w:rFonts w:eastAsia="仿宋"/>
      <w:sz w:val="18"/>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style>
  <w:style w:type="table" w:customStyle="1" w:styleId="18">
    <w:name w:val="样式1"/>
    <w:basedOn w:val="11"/>
    <w:qFormat/>
    <w:uiPriority w:val="99"/>
    <w:pPr>
      <w:adjustRightInd w:val="0"/>
      <w:snapToGrid w:val="0"/>
      <w:jc w:val="center"/>
    </w:pPr>
    <w:tblPr>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
    <w:trPr>
      <w:jc w:val="center"/>
    </w:trPr>
  </w:style>
  <w:style w:type="character" w:customStyle="1" w:styleId="19">
    <w:name w:val="font21"/>
    <w:basedOn w:val="13"/>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2020-07-28T02:19:00Z</dcterms:created>
  <dc:creator>Floyd</dc:creator>
  <cp:lastModifiedBy>Floyd</cp:lastModifiedBy>
  <dcterms:modified xsi:type="dcterms:W3CDTF">2020-08-21T01:13:33Z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