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5"/>
        <w:spacing w:line="360" w:lineRule="auto"/>
        <w:ind w:firstLine="0" w:firstLineChars="0"/>
        <w:outlineLvl w:val="0"/>
        <w:rPr>
          <w:rFonts w:cs="Times New Roman"/>
          <w:sz w:val="32"/>
          <w:szCs w:val="32"/>
        </w:rPr>
      </w:pPr>
      <w:bookmarkStart w:id="0" w:name="_Toc24441"/>
      <w:bookmarkStart w:id="1" w:name="_Toc5825895"/>
      <w:r>
        <w:rPr>
          <w:rFonts w:cs="Times New Roman"/>
          <w:sz w:val="32"/>
          <w:szCs w:val="32"/>
        </w:rPr>
        <w:t>前</w:t>
      </w:r>
      <w:r>
        <w:rPr>
          <w:rFonts w:hint="eastAsia" w:cs="Times New Roman"/>
          <w:sz w:val="32"/>
          <w:szCs w:val="32"/>
        </w:rPr>
        <w:t xml:space="preserve">   </w:t>
      </w:r>
      <w:r>
        <w:rPr>
          <w:rFonts w:cs="Times New Roman"/>
          <w:sz w:val="32"/>
          <w:szCs w:val="32"/>
        </w:rPr>
        <w:t>言</w:t>
      </w:r>
      <w:bookmarkEnd w:id="0"/>
    </w:p>
    <w:p>
      <w:pPr>
        <w:tabs>
          <w:tab w:val="left" w:pos="2970"/>
          <w:tab w:val="left" w:pos="6825"/>
        </w:tabs>
        <w:adjustRightInd w:val="0"/>
        <w:ind w:firstLine="480"/>
        <w:textAlignment w:val="baseline"/>
        <w:rPr>
          <w:kern w:val="0"/>
        </w:rPr>
      </w:pPr>
      <w:r>
        <w:rPr>
          <w:rFonts w:hint="eastAsia"/>
          <w:kern w:val="0"/>
        </w:rPr>
        <w:t>我国颁布实施的新《汽车产业发展政策)明确提出，将培育以私人消费为主的汽车市场，引导汽车消费者购买和使用低能耗、低污染、小排量、新能源、新动力的汽车，这为汽车产业发展带来了新机遇。随着我国城市化进程加快推进，汽车消费需求将在今后很长段时间保持稳定较快增 长趋势。虽然成都的一些企业具备了一定的零部件开发能力，并在某些领域在国内处于领先地位，但些关键零部件如: 发动机、变速器等仍然依靠国内外其他厂商。成都零部件生产厂商在研发、技术和工艺方面较弱，设备水平较低，难以为中高端汽车形成有效配套。大大降低了天府新区汽车行业整体水平，也是天府新区引入中高端汽车厂商的一个瓶颈。鉴于此，上海千缘汽车车身模具有限公司关于汽车零部件制造的项目(以下简称本项目)尝试与高等学府汽车研发中心合作，引进高端的模具装备工程技术及液压成型新生产工艺、技术，必将使公司的技术水平提升一个大台阶。再加上企业计划每年投入收入的20%作为研发资金，持续研究不断创新，必将成为天府新区汽车配套产业的排头兵，成为天府新区最有实力为高档汽车配套的企业。</w:t>
      </w:r>
    </w:p>
    <w:p>
      <w:pPr>
        <w:tabs>
          <w:tab w:val="left" w:pos="2970"/>
          <w:tab w:val="left" w:pos="6825"/>
        </w:tabs>
        <w:adjustRightInd w:val="0"/>
        <w:ind w:firstLine="480"/>
        <w:textAlignment w:val="baseline"/>
        <w:rPr>
          <w:kern w:val="0"/>
        </w:rPr>
      </w:pPr>
      <w:r>
        <w:rPr>
          <w:rFonts w:hint="eastAsia"/>
          <w:kern w:val="0"/>
        </w:rPr>
        <w:t>因此，建设本项目有着良好的经济和社会效益，项目建设是非常必要的。</w:t>
      </w:r>
    </w:p>
    <w:p>
      <w:pPr>
        <w:ind w:firstLine="480"/>
        <w:rPr>
          <w:rFonts w:cs="Times New Roman"/>
        </w:rPr>
      </w:pPr>
      <w:r>
        <w:rPr>
          <w:rFonts w:hint="eastAsia" w:cs="Times New Roman"/>
          <w:lang w:eastAsia="zh-CN"/>
        </w:rPr>
        <w:t>上海千缘汽车车身模具有限公司关于汽车零部件制造的项目</w:t>
      </w:r>
      <w:r>
        <w:rPr>
          <w:rFonts w:hint="eastAsia" w:cs="Times New Roman"/>
        </w:rPr>
        <w:t>位于</w:t>
      </w:r>
      <w:r>
        <w:rPr>
          <w:rFonts w:hint="eastAsia" w:cs="Times New Roman"/>
          <w:lang w:eastAsia="zh-CN"/>
        </w:rPr>
        <w:t>成都天府新区新兴工业园</w:t>
      </w:r>
      <w:r>
        <w:rPr>
          <w:rFonts w:hint="eastAsia" w:cs="Times New Roman"/>
        </w:rPr>
        <w:t>，场地地理位置优越，交通方便。</w:t>
      </w:r>
    </w:p>
    <w:p>
      <w:pPr>
        <w:ind w:firstLine="480"/>
        <w:rPr>
          <w:rFonts w:cs="Times New Roman"/>
        </w:rPr>
      </w:pPr>
      <w:r>
        <w:rPr>
          <w:rFonts w:hint="eastAsia" w:cs="Times New Roman"/>
          <w:lang w:eastAsia="zh-CN"/>
        </w:rPr>
        <w:t>上海千缘汽车车身模具有限公司关于汽车零部件制造的项目</w:t>
      </w:r>
      <w:r>
        <w:rPr>
          <w:rFonts w:hint="eastAsia" w:cs="Times New Roman"/>
        </w:rPr>
        <w:t>为建设类新建项目，</w:t>
      </w:r>
      <w:r>
        <w:rPr>
          <w:rFonts w:hint="eastAsia"/>
        </w:rPr>
        <w:t>总占地面积</w:t>
      </w:r>
      <w:r>
        <w:rPr>
          <w:rFonts w:hint="eastAsia"/>
          <w:lang w:eastAsia="zh-CN"/>
        </w:rPr>
        <w:t>4.45</w:t>
      </w:r>
      <w:r>
        <w:rPr>
          <w:rFonts w:hint="eastAsia"/>
        </w:rPr>
        <w:t>hm</w:t>
      </w:r>
      <w:r>
        <w:rPr>
          <w:rFonts w:hint="eastAsia"/>
          <w:vertAlign w:val="superscript"/>
        </w:rPr>
        <w:t>2</w:t>
      </w:r>
      <w:r>
        <w:rPr>
          <w:rFonts w:hint="eastAsia"/>
        </w:rPr>
        <w:t>，</w:t>
      </w:r>
      <w:r>
        <w:rPr>
          <w:rFonts w:hint="eastAsia"/>
          <w:lang w:val="en-US" w:eastAsia="zh-CN"/>
        </w:rPr>
        <w:t>均为永久占地</w:t>
      </w:r>
      <w:r>
        <w:rPr>
          <w:rFonts w:hint="eastAsia"/>
        </w:rPr>
        <w:t>。占地类型为耕地、林地、园地、</w:t>
      </w:r>
      <w:r>
        <w:rPr>
          <w:rFonts w:hint="eastAsia"/>
          <w:lang w:val="en-US" w:eastAsia="zh-CN"/>
        </w:rPr>
        <w:t>草</w:t>
      </w:r>
      <w:r>
        <w:rPr>
          <w:rFonts w:hint="eastAsia"/>
        </w:rPr>
        <w:t>地</w:t>
      </w:r>
      <w:r>
        <w:t>。</w:t>
      </w:r>
      <w:r>
        <w:rPr>
          <w:rFonts w:hint="eastAsia"/>
          <w:lang w:val="en-US" w:eastAsia="zh-CN"/>
        </w:rPr>
        <w:t>临时</w:t>
      </w:r>
      <w:r>
        <w:rPr>
          <w:rFonts w:hint="eastAsia"/>
        </w:rPr>
        <w:t>工程</w:t>
      </w:r>
      <w:r>
        <w:rPr>
          <w:rFonts w:hint="eastAsia"/>
          <w:lang w:val="en-US" w:eastAsia="zh-CN"/>
        </w:rPr>
        <w:t>包括施工生产生活区及表土堆场，</w:t>
      </w:r>
      <w:r>
        <w:rPr>
          <w:rFonts w:hint="eastAsia"/>
        </w:rPr>
        <w:t>占地</w:t>
      </w:r>
      <w:r>
        <w:rPr>
          <w:rFonts w:hint="eastAsia"/>
          <w:lang w:val="en-US" w:eastAsia="zh-CN"/>
        </w:rPr>
        <w:t>共计0.08</w:t>
      </w:r>
      <w:r>
        <w:rPr>
          <w:rFonts w:hint="eastAsia"/>
        </w:rPr>
        <w:t>hm</w:t>
      </w:r>
      <w:r>
        <w:rPr>
          <w:vertAlign w:val="superscript"/>
        </w:rPr>
        <w:t>2</w:t>
      </w:r>
      <w:r>
        <w:rPr>
          <w:rFonts w:hint="eastAsia"/>
        </w:rPr>
        <w:t>，</w:t>
      </w:r>
      <w:r>
        <w:rPr>
          <w:rFonts w:hint="eastAsia"/>
          <w:lang w:val="en-US" w:eastAsia="zh-CN"/>
        </w:rPr>
        <w:t>位于项目永久占地范围内，面积不重复计列</w:t>
      </w:r>
      <w:r>
        <w:rPr>
          <w:rFonts w:hint="eastAsia" w:cs="Times New Roman"/>
        </w:rPr>
        <w:t>。</w:t>
      </w:r>
    </w:p>
    <w:p>
      <w:pPr>
        <w:ind w:firstLine="480"/>
        <w:rPr>
          <w:rFonts w:cs="Times New Roman"/>
        </w:rPr>
      </w:pPr>
      <w:r>
        <w:rPr>
          <w:rFonts w:hint="eastAsia"/>
        </w:rPr>
        <w:t>本项目建设共开挖土石方</w:t>
      </w:r>
      <w:r>
        <w:rPr>
          <w:rFonts w:hint="eastAsia"/>
          <w:lang w:eastAsia="zh-CN"/>
        </w:rPr>
        <w:t>2.89</w:t>
      </w:r>
      <w:r>
        <w:rPr>
          <w:rFonts w:hint="eastAsia"/>
        </w:rPr>
        <w:t>万m</w:t>
      </w:r>
      <w:r>
        <w:rPr>
          <w:vertAlign w:val="superscript"/>
        </w:rPr>
        <w:t>3</w:t>
      </w:r>
      <w:r>
        <w:rPr>
          <w:rFonts w:hint="eastAsia"/>
        </w:rPr>
        <w:t>，填方</w:t>
      </w:r>
      <w:r>
        <w:rPr>
          <w:rFonts w:hint="eastAsia"/>
          <w:lang w:eastAsia="zh-CN"/>
        </w:rPr>
        <w:t>12.89</w:t>
      </w:r>
      <w:r>
        <w:rPr>
          <w:rFonts w:hint="eastAsia"/>
        </w:rPr>
        <w:t>万m</w:t>
      </w:r>
      <w:r>
        <w:rPr>
          <w:vertAlign w:val="superscript"/>
        </w:rPr>
        <w:t>3</w:t>
      </w:r>
      <w:r>
        <w:rPr>
          <w:rFonts w:hint="eastAsia"/>
        </w:rPr>
        <w:t>，无</w:t>
      </w:r>
      <w:r>
        <w:rPr>
          <w:rFonts w:hint="eastAsia"/>
          <w:lang w:val="en-US" w:eastAsia="zh-CN"/>
        </w:rPr>
        <w:t>弃</w:t>
      </w:r>
      <w:r>
        <w:rPr>
          <w:rFonts w:hint="eastAsia"/>
        </w:rPr>
        <w:t>方，</w:t>
      </w:r>
      <w:r>
        <w:rPr>
          <w:rFonts w:hint="eastAsia"/>
          <w:lang w:val="en-US" w:eastAsia="zh-CN"/>
        </w:rPr>
        <w:t>借</w:t>
      </w:r>
      <w:r>
        <w:rPr>
          <w:rFonts w:hint="eastAsia"/>
        </w:rPr>
        <w:t>方</w:t>
      </w:r>
      <w:r>
        <w:rPr>
          <w:rFonts w:hint="eastAsia"/>
          <w:lang w:val="en-US" w:eastAsia="zh-CN"/>
        </w:rPr>
        <w:t>10</w:t>
      </w:r>
      <w:r>
        <w:rPr>
          <w:rFonts w:hint="eastAsia"/>
        </w:rPr>
        <w:t>万m</w:t>
      </w:r>
      <w:r>
        <w:rPr>
          <w:vertAlign w:val="superscript"/>
        </w:rPr>
        <w:t>3</w:t>
      </w:r>
      <w:r>
        <w:rPr>
          <w:rFonts w:hint="eastAsia"/>
        </w:rPr>
        <w:t>，借方由其他建设项目的弃土及园区管委会调入土方进行回填，</w:t>
      </w:r>
      <w:r>
        <w:rPr>
          <w:rFonts w:hint="eastAsia"/>
          <w:lang w:val="en-US" w:eastAsia="zh-CN"/>
        </w:rPr>
        <w:t>场地</w:t>
      </w:r>
      <w:r>
        <w:rPr>
          <w:rFonts w:hint="eastAsia"/>
        </w:rPr>
        <w:t>现状良好，无水土流失隐患</w:t>
      </w:r>
      <w:r>
        <w:rPr>
          <w:rFonts w:cs="Times New Roman"/>
        </w:rPr>
        <w:t>。</w:t>
      </w:r>
    </w:p>
    <w:p>
      <w:pPr>
        <w:ind w:firstLine="480"/>
        <w:rPr>
          <w:rFonts w:cs="Times New Roman"/>
        </w:rPr>
      </w:pPr>
      <w:r>
        <w:rPr>
          <w:rFonts w:hint="eastAsia"/>
        </w:rPr>
        <w:t>本项目已于</w:t>
      </w:r>
      <w:r>
        <w:rPr>
          <w:rFonts w:hint="eastAsia"/>
          <w:lang w:eastAsia="zh-CN"/>
        </w:rPr>
        <w:t>2016年9月</w:t>
      </w:r>
      <w:r>
        <w:rPr>
          <w:rFonts w:hint="eastAsia"/>
        </w:rPr>
        <w:t>开工建设，于</w:t>
      </w:r>
      <w:r>
        <w:rPr>
          <w:rFonts w:hint="eastAsia"/>
          <w:lang w:eastAsia="zh-CN"/>
        </w:rPr>
        <w:t>2017年9月</w:t>
      </w:r>
      <w:r>
        <w:rPr>
          <w:rFonts w:hint="eastAsia"/>
        </w:rPr>
        <w:t>完工，总工期</w:t>
      </w:r>
      <w:r>
        <w:rPr>
          <w:rFonts w:hint="eastAsia"/>
          <w:lang w:eastAsia="zh-CN"/>
        </w:rPr>
        <w:t>13个月</w:t>
      </w:r>
      <w:r>
        <w:rPr>
          <w:rFonts w:cs="Times New Roman"/>
        </w:rPr>
        <w:t>。项目总投资</w:t>
      </w:r>
      <w:r>
        <w:rPr>
          <w:rFonts w:hint="eastAsia"/>
          <w:lang w:eastAsia="zh-CN"/>
        </w:rPr>
        <w:t>24000</w:t>
      </w:r>
      <w:r>
        <w:rPr>
          <w:rFonts w:hint="eastAsia"/>
        </w:rPr>
        <w:t>万元，其中土建投资</w:t>
      </w:r>
      <w:r>
        <w:rPr>
          <w:rFonts w:hint="eastAsia"/>
          <w:lang w:eastAsia="zh-CN"/>
        </w:rPr>
        <w:t>8430.37</w:t>
      </w:r>
      <w:r>
        <w:rPr>
          <w:rFonts w:hint="eastAsia"/>
        </w:rPr>
        <w:t>万元</w:t>
      </w:r>
      <w:r>
        <w:rPr>
          <w:rFonts w:cs="Times New Roman"/>
        </w:rPr>
        <w:t>，资金来源为</w:t>
      </w:r>
      <w:r>
        <w:rPr>
          <w:rFonts w:hint="eastAsia"/>
        </w:rPr>
        <w:t>资本金及银行贷款</w:t>
      </w:r>
      <w:r>
        <w:rPr>
          <w:rFonts w:cs="Times New Roman"/>
        </w:rPr>
        <w:t>。</w:t>
      </w:r>
    </w:p>
    <w:p>
      <w:pPr>
        <w:autoSpaceDE w:val="0"/>
        <w:autoSpaceDN w:val="0"/>
        <w:adjustRightInd w:val="0"/>
        <w:ind w:firstLine="480"/>
        <w:textAlignment w:val="baseline"/>
        <w:rPr>
          <w:color w:val="FF0000"/>
          <w:kern w:val="0"/>
          <w:szCs w:val="20"/>
        </w:rPr>
      </w:pPr>
      <w:r>
        <w:rPr>
          <w:kern w:val="0"/>
          <w:szCs w:val="20"/>
        </w:rPr>
        <w:t>按照《中华人民共和国水土保持法》、《&lt;中华人民共和国水土保持法&gt;实施条例》，《开发建设项目水土保持设施验收管理办法》和《关于规范生产建设项目水土保持监测工作的意见》(水保</w:t>
      </w:r>
      <w:r>
        <w:rPr>
          <w:rFonts w:hint="eastAsia" w:ascii="仿宋_GB2312" w:hAnsi="仿宋_GB2312"/>
          <w:kern w:val="0"/>
          <w:szCs w:val="20"/>
        </w:rPr>
        <w:t>[</w:t>
      </w:r>
      <w:r>
        <w:rPr>
          <w:kern w:val="0"/>
          <w:szCs w:val="20"/>
        </w:rPr>
        <w:t>2009</w:t>
      </w:r>
      <w:r>
        <w:rPr>
          <w:rFonts w:hint="eastAsia" w:ascii="仿宋_GB2312" w:hAnsi="仿宋_GB2312"/>
          <w:kern w:val="0"/>
          <w:szCs w:val="20"/>
        </w:rPr>
        <w:t>]</w:t>
      </w:r>
      <w:r>
        <w:rPr>
          <w:kern w:val="0"/>
          <w:szCs w:val="20"/>
        </w:rPr>
        <w:t>187号)等法律、法规和文件中针对有水土流失防治任务的开发建设项目，建设和管理单位应设立专门的监测点对水土流失状况进行监测。为此，</w:t>
      </w:r>
      <w:r>
        <w:rPr>
          <w:rFonts w:hint="eastAsia"/>
          <w:kern w:val="0"/>
          <w:lang w:eastAsia="zh-CN"/>
        </w:rPr>
        <w:t>成都润嘉汽车部件有限公司</w:t>
      </w:r>
      <w:r>
        <w:rPr>
          <w:kern w:val="0"/>
          <w:szCs w:val="20"/>
        </w:rPr>
        <w:t>于20</w:t>
      </w:r>
      <w:r>
        <w:rPr>
          <w:rFonts w:hint="eastAsia"/>
          <w:kern w:val="0"/>
          <w:szCs w:val="20"/>
        </w:rPr>
        <w:t>20</w:t>
      </w:r>
      <w:r>
        <w:rPr>
          <w:kern w:val="0"/>
          <w:szCs w:val="20"/>
        </w:rPr>
        <w:t>年</w:t>
      </w:r>
      <w:r>
        <w:rPr>
          <w:rFonts w:hint="eastAsia"/>
          <w:kern w:val="0"/>
          <w:szCs w:val="20"/>
          <w:lang w:val="en-US" w:eastAsia="zh-CN"/>
        </w:rPr>
        <w:t>6</w:t>
      </w:r>
      <w:r>
        <w:rPr>
          <w:kern w:val="0"/>
          <w:szCs w:val="20"/>
        </w:rPr>
        <w:t>月委托</w:t>
      </w:r>
      <w:r>
        <w:rPr>
          <w:rFonts w:hint="eastAsia"/>
          <w:lang w:eastAsia="zh-CN"/>
        </w:rPr>
        <w:t>四川景溪工程设计有限公司</w:t>
      </w:r>
      <w:r>
        <w:rPr>
          <w:kern w:val="0"/>
          <w:szCs w:val="20"/>
        </w:rPr>
        <w:t>开展</w:t>
      </w:r>
      <w:r>
        <w:rPr>
          <w:rFonts w:hint="eastAsia"/>
          <w:lang w:eastAsia="zh-CN"/>
        </w:rPr>
        <w:t>上海千缘汽车车身模具有限公司关于汽车零部件制造的项目</w:t>
      </w:r>
      <w:r>
        <w:rPr>
          <w:rFonts w:hint="eastAsia"/>
        </w:rPr>
        <w:t>项目的</w:t>
      </w:r>
      <w:r>
        <w:rPr>
          <w:kern w:val="0"/>
          <w:szCs w:val="20"/>
        </w:rPr>
        <w:t>水土保持</w:t>
      </w:r>
      <w:r>
        <w:rPr>
          <w:rFonts w:hint="eastAsia"/>
          <w:kern w:val="0"/>
          <w:szCs w:val="20"/>
        </w:rPr>
        <w:t>效果</w:t>
      </w:r>
      <w:r>
        <w:rPr>
          <w:kern w:val="0"/>
          <w:szCs w:val="20"/>
        </w:rPr>
        <w:t>监测工作。</w:t>
      </w:r>
    </w:p>
    <w:p>
      <w:pPr>
        <w:autoSpaceDE w:val="0"/>
        <w:autoSpaceDN w:val="0"/>
        <w:adjustRightInd w:val="0"/>
        <w:ind w:firstLine="480"/>
        <w:textAlignment w:val="baseline"/>
        <w:rPr>
          <w:kern w:val="0"/>
          <w:highlight w:val="yellow"/>
        </w:rPr>
      </w:pPr>
      <w:r>
        <w:rPr>
          <w:rFonts w:hint="eastAsia" w:ascii="仿宋_GB2312" w:hAnsi="宋体" w:cs="宋体"/>
          <w:kern w:val="0"/>
        </w:rPr>
        <w:t>本项目主要有</w:t>
      </w:r>
      <w:r>
        <w:rPr>
          <w:rFonts w:hint="eastAsia" w:ascii="仿宋_GB2312" w:hAnsi="宋体" w:cs="宋体"/>
          <w:kern w:val="0"/>
          <w:lang w:eastAsia="zh-CN"/>
        </w:rPr>
        <w:t>建构筑物防治区</w:t>
      </w:r>
      <w:r>
        <w:t>、</w:t>
      </w:r>
      <w:r>
        <w:rPr>
          <w:rFonts w:hint="eastAsia" w:ascii="仿宋_GB2312" w:hAnsi="宋体" w:cs="宋体"/>
          <w:kern w:val="0"/>
          <w:lang w:eastAsia="zh-CN"/>
        </w:rPr>
        <w:t>道路及硬化工程防治区</w:t>
      </w:r>
      <w:r>
        <w:t>、</w:t>
      </w:r>
      <w:r>
        <w:rPr>
          <w:rFonts w:hint="eastAsia" w:ascii="仿宋_GB2312" w:hAnsi="宋体" w:cs="宋体"/>
          <w:kern w:val="0"/>
          <w:lang w:eastAsia="zh-CN"/>
        </w:rPr>
        <w:t>绿化防治区</w:t>
      </w:r>
      <w:r>
        <w:rPr>
          <w:snapToGrid w:val="0"/>
        </w:rPr>
        <w:t>共</w:t>
      </w:r>
      <w:r>
        <w:rPr>
          <w:rFonts w:hint="eastAsia"/>
          <w:snapToGrid w:val="0"/>
        </w:rPr>
        <w:t>3</w:t>
      </w:r>
      <w:r>
        <w:rPr>
          <w:snapToGrid w:val="0"/>
        </w:rPr>
        <w:t>个水土保持监测分区</w:t>
      </w:r>
      <w:r>
        <w:rPr>
          <w:kern w:val="0"/>
        </w:rPr>
        <w:t>。工程区水土流失以水力侵蚀为主，侵蚀形态以面蚀为主、沟蚀次之，</w:t>
      </w:r>
      <w:r>
        <w:rPr>
          <w:snapToGrid w:val="0"/>
          <w:kern w:val="0"/>
        </w:rPr>
        <w:t>允许土壤侵蚀模数为500t/（km</w:t>
      </w:r>
      <w:r>
        <w:rPr>
          <w:snapToGrid w:val="0"/>
          <w:kern w:val="0"/>
          <w:vertAlign w:val="superscript"/>
        </w:rPr>
        <w:t>2</w:t>
      </w:r>
      <w:r>
        <w:rPr>
          <w:kern w:val="0"/>
          <w:lang w:val="zh-CN"/>
        </w:rPr>
        <w:t>•</w:t>
      </w:r>
      <w:r>
        <w:rPr>
          <w:snapToGrid w:val="0"/>
          <w:kern w:val="0"/>
        </w:rPr>
        <w:t>a）。</w:t>
      </w:r>
    </w:p>
    <w:p>
      <w:pPr>
        <w:autoSpaceDE w:val="0"/>
        <w:autoSpaceDN w:val="0"/>
        <w:adjustRightInd w:val="0"/>
        <w:ind w:firstLine="480"/>
        <w:textAlignment w:val="baseline"/>
        <w:rPr>
          <w:kern w:val="0"/>
          <w:szCs w:val="20"/>
        </w:rPr>
      </w:pPr>
      <w:r>
        <w:rPr>
          <w:rFonts w:hint="eastAsia"/>
          <w:kern w:val="0"/>
        </w:rPr>
        <w:t>2020年</w:t>
      </w:r>
      <w:r>
        <w:rPr>
          <w:rFonts w:hint="eastAsia"/>
          <w:kern w:val="0"/>
          <w:lang w:val="en-US" w:eastAsia="zh-CN"/>
        </w:rPr>
        <w:t>6</w:t>
      </w:r>
      <w:r>
        <w:rPr>
          <w:rFonts w:hint="eastAsia"/>
          <w:kern w:val="0"/>
        </w:rPr>
        <w:t>月</w:t>
      </w:r>
      <w:r>
        <w:rPr>
          <w:kern w:val="0"/>
        </w:rPr>
        <w:t>我公司接受委托后，立刻组织水土保持监测专业技术人员成立</w:t>
      </w:r>
      <w:r>
        <w:rPr>
          <w:rFonts w:hint="eastAsia"/>
          <w:lang w:eastAsia="zh-CN"/>
        </w:rPr>
        <w:t>上海千缘汽车车身模具有限公司关于汽车零部件制造的项目</w:t>
      </w:r>
      <w:r>
        <w:rPr>
          <w:rFonts w:hint="eastAsia"/>
        </w:rPr>
        <w:t>项目</w:t>
      </w:r>
      <w:r>
        <w:rPr>
          <w:kern w:val="0"/>
        </w:rPr>
        <w:t>监测项目组（以下简称“项目组”），</w:t>
      </w:r>
      <w:r>
        <w:rPr>
          <w:rFonts w:hint="eastAsia"/>
          <w:kern w:val="0"/>
        </w:rPr>
        <w:t>于2020年</w:t>
      </w:r>
      <w:r>
        <w:rPr>
          <w:rFonts w:hint="eastAsia"/>
          <w:kern w:val="0"/>
          <w:lang w:val="en-US" w:eastAsia="zh-CN"/>
        </w:rPr>
        <w:t>6</w:t>
      </w:r>
      <w:r>
        <w:rPr>
          <w:rFonts w:hint="eastAsia"/>
          <w:kern w:val="0"/>
        </w:rPr>
        <w:t>月下旬</w:t>
      </w:r>
      <w:r>
        <w:rPr>
          <w:kern w:val="0"/>
        </w:rPr>
        <w:t>进</w:t>
      </w:r>
      <w:r>
        <w:rPr>
          <w:rFonts w:hint="eastAsia"/>
          <w:kern w:val="0"/>
        </w:rPr>
        <w:t>入</w:t>
      </w:r>
      <w:r>
        <w:rPr>
          <w:kern w:val="0"/>
        </w:rPr>
        <w:t>现场进行实地踏勘。之后，项目组按照水土保持监测技术规程规范的相关要求，在</w:t>
      </w:r>
      <w:r>
        <w:rPr>
          <w:rFonts w:hint="eastAsia"/>
          <w:kern w:val="0"/>
          <w:lang w:eastAsia="zh-CN"/>
        </w:rPr>
        <w:t>成都润嘉汽车部件有限公司</w:t>
      </w:r>
      <w:r>
        <w:rPr>
          <w:bCs/>
          <w:kern w:val="0"/>
        </w:rPr>
        <w:t>、参建</w:t>
      </w:r>
      <w:r>
        <w:rPr>
          <w:kern w:val="0"/>
        </w:rPr>
        <w:t>施工单位和监理单位的大力协助下，顺利开展了</w:t>
      </w:r>
      <w:r>
        <w:rPr>
          <w:rFonts w:hint="eastAsia"/>
          <w:lang w:eastAsia="zh-CN"/>
        </w:rPr>
        <w:t>上海千缘汽车车身模具有限公司关于汽车零部件制造的项目</w:t>
      </w:r>
      <w:r>
        <w:rPr>
          <w:rFonts w:hint="eastAsia"/>
        </w:rPr>
        <w:t>项目</w:t>
      </w:r>
      <w:r>
        <w:rPr>
          <w:kern w:val="0"/>
        </w:rPr>
        <w:t>水土保持监测工作</w:t>
      </w:r>
      <w:r>
        <w:rPr>
          <w:rFonts w:hint="eastAsia"/>
          <w:kern w:val="0"/>
        </w:rPr>
        <w:t>，于20</w:t>
      </w:r>
      <w:r>
        <w:rPr>
          <w:rFonts w:hint="eastAsia"/>
          <w:kern w:val="0"/>
          <w:lang w:val="en-US" w:eastAsia="zh-CN"/>
        </w:rPr>
        <w:t>20</w:t>
      </w:r>
      <w:r>
        <w:rPr>
          <w:rFonts w:hint="eastAsia"/>
          <w:kern w:val="0"/>
        </w:rPr>
        <w:t>年</w:t>
      </w:r>
      <w:r>
        <w:rPr>
          <w:rFonts w:hint="eastAsia"/>
          <w:kern w:val="0"/>
          <w:lang w:val="en-US" w:eastAsia="zh-CN"/>
        </w:rPr>
        <w:t>7</w:t>
      </w:r>
      <w:r>
        <w:rPr>
          <w:rFonts w:hint="eastAsia"/>
          <w:kern w:val="0"/>
        </w:rPr>
        <w:t>月完成监测工作</w:t>
      </w:r>
      <w:r>
        <w:rPr>
          <w:kern w:val="0"/>
        </w:rPr>
        <w:t>。</w:t>
      </w:r>
    </w:p>
    <w:p>
      <w:pPr>
        <w:autoSpaceDE w:val="0"/>
        <w:autoSpaceDN w:val="0"/>
        <w:adjustRightInd w:val="0"/>
        <w:ind w:firstLine="480"/>
        <w:textAlignment w:val="baseline"/>
        <w:rPr>
          <w:kern w:val="0"/>
        </w:rPr>
      </w:pPr>
      <w:r>
        <w:rPr>
          <w:kern w:val="0"/>
        </w:rPr>
        <w:t>各项水土保持措施发挥了有效的水土保持防治效果，扰动土地和可能发生水土流失的场所得到及时整治；可绿化区域采取林草恢复措施，达到水土保持和绿化、美化的良好效果；施工区水土保持状况总体上满足工程的水土保持要求。根据监测结果，工程区土壤侵蚀强度</w:t>
      </w:r>
      <w:r>
        <w:rPr>
          <w:rFonts w:hint="eastAsia"/>
          <w:kern w:val="0"/>
        </w:rPr>
        <w:t>为轻度</w:t>
      </w:r>
      <w:r>
        <w:rPr>
          <w:kern w:val="0"/>
        </w:rPr>
        <w:t>，满足国家规定的相关土壤容许流失量要求。监测结果表明，</w:t>
      </w:r>
      <w:r>
        <w:rPr>
          <w:rFonts w:hint="eastAsia"/>
          <w:kern w:val="0"/>
        </w:rPr>
        <w:t>至设计水平年结束，项目扰动土地整治率</w:t>
      </w:r>
      <w:r>
        <w:rPr>
          <w:rFonts w:hint="eastAsia"/>
          <w:kern w:val="0"/>
          <w:lang w:eastAsia="zh-CN"/>
        </w:rPr>
        <w:t>99.97</w:t>
      </w:r>
      <w:r>
        <w:rPr>
          <w:rFonts w:hint="eastAsia"/>
          <w:kern w:val="0"/>
        </w:rPr>
        <w:t>%、水土流失总治理度</w:t>
      </w:r>
      <w:r>
        <w:rPr>
          <w:rFonts w:hint="eastAsia"/>
          <w:kern w:val="0"/>
          <w:lang w:eastAsia="zh-CN"/>
        </w:rPr>
        <w:t>99.63</w:t>
      </w:r>
      <w:r>
        <w:rPr>
          <w:rFonts w:hint="eastAsia"/>
          <w:kern w:val="0"/>
        </w:rPr>
        <w:t>%、土壤流失控制比1.2</w:t>
      </w:r>
      <w:r>
        <w:rPr>
          <w:rFonts w:hint="eastAsia"/>
          <w:kern w:val="0"/>
          <w:lang w:val="en-US" w:eastAsia="zh-CN"/>
        </w:rPr>
        <w:t>3</w:t>
      </w:r>
      <w:r>
        <w:rPr>
          <w:rFonts w:hint="eastAsia"/>
          <w:kern w:val="0"/>
        </w:rPr>
        <w:t>、拦渣率</w:t>
      </w:r>
      <w:r>
        <w:rPr>
          <w:rFonts w:hint="eastAsia"/>
          <w:kern w:val="0"/>
          <w:lang w:eastAsia="zh-CN"/>
        </w:rPr>
        <w:t>99.84</w:t>
      </w:r>
      <w:r>
        <w:rPr>
          <w:rFonts w:hint="eastAsia"/>
          <w:kern w:val="0"/>
        </w:rPr>
        <w:t>%、林草植被恢复率</w:t>
      </w:r>
      <w:r>
        <w:rPr>
          <w:rFonts w:hint="eastAsia"/>
          <w:kern w:val="0"/>
          <w:lang w:eastAsia="zh-CN"/>
        </w:rPr>
        <w:t>99.61</w:t>
      </w:r>
      <w:r>
        <w:rPr>
          <w:rFonts w:hint="eastAsia"/>
          <w:kern w:val="0"/>
        </w:rPr>
        <w:t>%、林草覆盖率</w:t>
      </w:r>
      <w:r>
        <w:rPr>
          <w:rFonts w:hint="eastAsia"/>
          <w:kern w:val="0"/>
          <w:lang w:eastAsia="zh-CN"/>
        </w:rPr>
        <w:t>7.0</w:t>
      </w:r>
      <w:r>
        <w:rPr>
          <w:rFonts w:hint="eastAsia"/>
          <w:kern w:val="0"/>
        </w:rPr>
        <w:t>%，六项防治标准均能达到并超过水保方案设计及现行国家规定的的水土流失防治目标</w:t>
      </w:r>
      <w:r>
        <w:rPr>
          <w:kern w:val="0"/>
        </w:rPr>
        <w:t>。</w:t>
      </w:r>
    </w:p>
    <w:p>
      <w:pPr>
        <w:ind w:firstLine="480"/>
        <w:rPr>
          <w:kern w:val="0"/>
        </w:rPr>
      </w:pPr>
      <w:r>
        <w:rPr>
          <w:rFonts w:hint="eastAsia"/>
          <w:kern w:val="0"/>
          <w:szCs w:val="20"/>
        </w:rPr>
        <w:t>20</w:t>
      </w:r>
      <w:r>
        <w:rPr>
          <w:rFonts w:hint="eastAsia"/>
          <w:kern w:val="0"/>
          <w:szCs w:val="20"/>
          <w:lang w:val="en-US" w:eastAsia="zh-CN"/>
        </w:rPr>
        <w:t>20</w:t>
      </w:r>
      <w:r>
        <w:rPr>
          <w:rFonts w:hint="eastAsia"/>
          <w:kern w:val="0"/>
          <w:szCs w:val="20"/>
        </w:rPr>
        <w:t>年</w:t>
      </w:r>
      <w:r>
        <w:rPr>
          <w:rFonts w:hint="eastAsia"/>
          <w:kern w:val="0"/>
          <w:szCs w:val="20"/>
          <w:lang w:val="en-US" w:eastAsia="zh-CN"/>
        </w:rPr>
        <w:t>7</w:t>
      </w:r>
      <w:r>
        <w:rPr>
          <w:rFonts w:hint="eastAsia"/>
          <w:kern w:val="0"/>
          <w:szCs w:val="20"/>
        </w:rPr>
        <w:t>月</w:t>
      </w:r>
      <w:r>
        <w:rPr>
          <w:kern w:val="0"/>
          <w:szCs w:val="20"/>
        </w:rPr>
        <w:t>，根据项目组对本工程水土保持监测成果综合分析，最终形成《</w:t>
      </w:r>
      <w:r>
        <w:rPr>
          <w:rFonts w:hint="eastAsia"/>
          <w:lang w:eastAsia="zh-CN"/>
        </w:rPr>
        <w:t>上海千缘汽车车身模具有限公司关于汽车零部件制造的项目</w:t>
      </w:r>
      <w:r>
        <w:rPr>
          <w:rFonts w:hint="eastAsia"/>
        </w:rPr>
        <w:t>项目</w:t>
      </w:r>
      <w:r>
        <w:rPr>
          <w:kern w:val="0"/>
          <w:szCs w:val="20"/>
        </w:rPr>
        <w:t>水土保持监测总结报告》。</w:t>
      </w:r>
      <w:r>
        <w:rPr>
          <w:kern w:val="0"/>
        </w:rPr>
        <w:t>在现场工作和报告编制过程中得到了</w:t>
      </w:r>
      <w:r>
        <w:rPr>
          <w:rFonts w:hint="eastAsia"/>
          <w:kern w:val="0"/>
          <w:lang w:eastAsia="zh-CN"/>
        </w:rPr>
        <w:t>成都润嘉汽车部件有限公司</w:t>
      </w:r>
      <w:r>
        <w:rPr>
          <w:kern w:val="0"/>
        </w:rPr>
        <w:t>的大力支持与协助，</w:t>
      </w:r>
      <w:r>
        <w:rPr>
          <w:rFonts w:hint="eastAsia"/>
          <w:kern w:val="0"/>
        </w:rPr>
        <w:t>同时</w:t>
      </w:r>
      <w:r>
        <w:rPr>
          <w:kern w:val="0"/>
        </w:rPr>
        <w:t>得到了</w:t>
      </w:r>
      <w:r>
        <w:rPr>
          <w:rFonts w:hint="eastAsia"/>
          <w:kern w:val="0"/>
          <w:lang w:val="en-US" w:eastAsia="zh-CN"/>
        </w:rPr>
        <w:t>成都天府新区水行政</w:t>
      </w:r>
      <w:r>
        <w:rPr>
          <w:rFonts w:hint="eastAsia"/>
          <w:kern w:val="0"/>
        </w:rPr>
        <w:t>主管部门的指导和帮助</w:t>
      </w:r>
      <w:r>
        <w:rPr>
          <w:kern w:val="0"/>
        </w:rPr>
        <w:t>，在此一并表示诚挚的感谢！</w:t>
      </w:r>
    </w:p>
    <w:p>
      <w:pPr>
        <w:ind w:firstLine="480"/>
        <w:rPr>
          <w:kern w:val="0"/>
        </w:rPr>
      </w:pPr>
      <w:r>
        <w:rPr>
          <w:kern w:val="0"/>
        </w:rPr>
        <w:br w:type="page"/>
      </w:r>
    </w:p>
    <w:p>
      <w:pPr>
        <w:autoSpaceDE w:val="0"/>
        <w:autoSpaceDN w:val="0"/>
        <w:adjustRightInd w:val="0"/>
        <w:spacing w:line="480" w:lineRule="auto"/>
        <w:ind w:firstLine="0" w:firstLineChars="0"/>
        <w:jc w:val="center"/>
        <w:textAlignment w:val="baseline"/>
        <w:rPr>
          <w:b/>
          <w:kern w:val="0"/>
        </w:rPr>
      </w:pPr>
      <w:r>
        <w:rPr>
          <w:rFonts w:hAnsi="宋体"/>
          <w:b/>
          <w:kern w:val="0"/>
        </w:rPr>
        <w:t>水土保持监测特性表</w:t>
      </w:r>
    </w:p>
    <w:tbl>
      <w:tblPr>
        <w:tblStyle w:val="13"/>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396"/>
        <w:gridCol w:w="533"/>
        <w:gridCol w:w="491"/>
        <w:gridCol w:w="12"/>
        <w:gridCol w:w="1065"/>
        <w:gridCol w:w="805"/>
        <w:gridCol w:w="467"/>
        <w:gridCol w:w="304"/>
        <w:gridCol w:w="433"/>
        <w:gridCol w:w="356"/>
        <w:gridCol w:w="820"/>
        <w:gridCol w:w="22"/>
        <w:gridCol w:w="588"/>
        <w:gridCol w:w="329"/>
        <w:gridCol w:w="821"/>
        <w:gridCol w:w="295"/>
        <w:gridCol w:w="436"/>
        <w:gridCol w:w="210"/>
        <w:gridCol w:w="903"/>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000" w:type="pct"/>
            <w:gridSpan w:val="19"/>
            <w:shd w:val="clear" w:color="auto" w:fill="auto"/>
            <w:vAlign w:val="center"/>
          </w:tcPr>
          <w:p>
            <w:pPr>
              <w:pStyle w:val="23"/>
            </w:pPr>
            <w:r>
              <w:t>主体工程主要技术指标</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01" w:type="pct"/>
            <w:gridSpan w:val="4"/>
            <w:shd w:val="clear" w:color="auto" w:fill="auto"/>
            <w:vAlign w:val="center"/>
          </w:tcPr>
          <w:p>
            <w:pPr>
              <w:pStyle w:val="23"/>
            </w:pPr>
            <w:r>
              <w:t>项目名称</w:t>
            </w:r>
          </w:p>
        </w:tc>
        <w:tc>
          <w:tcPr>
            <w:tcW w:w="4198" w:type="pct"/>
            <w:gridSpan w:val="15"/>
            <w:shd w:val="clear" w:color="auto" w:fill="auto"/>
            <w:vAlign w:val="center"/>
          </w:tcPr>
          <w:p>
            <w:pPr>
              <w:pStyle w:val="23"/>
            </w:pPr>
            <w:r>
              <w:rPr>
                <w:rFonts w:hint="eastAsia"/>
                <w:lang w:eastAsia="zh-CN"/>
              </w:rPr>
              <w:t>上海千缘汽车车身模具有限公司关于汽车零部件制造的项目</w:t>
            </w:r>
            <w:r>
              <w:rPr>
                <w:rFonts w:hint="eastAsia"/>
              </w:rPr>
              <w:t>项目</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01" w:type="pct"/>
            <w:gridSpan w:val="4"/>
            <w:vMerge w:val="restart"/>
            <w:shd w:val="clear" w:color="auto" w:fill="auto"/>
            <w:vAlign w:val="center"/>
          </w:tcPr>
          <w:p>
            <w:pPr>
              <w:pStyle w:val="23"/>
            </w:pPr>
            <w:r>
              <w:t>建设规模</w:t>
            </w:r>
          </w:p>
        </w:tc>
        <w:tc>
          <w:tcPr>
            <w:tcW w:w="1275" w:type="pct"/>
            <w:gridSpan w:val="3"/>
            <w:vMerge w:val="restart"/>
            <w:shd w:val="clear" w:color="auto" w:fill="auto"/>
            <w:vAlign w:val="center"/>
          </w:tcPr>
          <w:p>
            <w:pPr>
              <w:pStyle w:val="23"/>
            </w:pPr>
            <w:r>
              <w:rPr>
                <w:rFonts w:hint="eastAsia" w:cs="Times New Roman"/>
                <w:sz w:val="18"/>
                <w:szCs w:val="18"/>
              </w:rPr>
              <w:t>包括生产用房及配套设施，总建筑面积33188.21m</w:t>
            </w:r>
            <w:r>
              <w:rPr>
                <w:rFonts w:hint="eastAsia" w:cs="Times New Roman"/>
                <w:sz w:val="18"/>
                <w:szCs w:val="18"/>
                <w:vertAlign w:val="superscript"/>
              </w:rPr>
              <w:t>2</w:t>
            </w:r>
            <w:r>
              <w:rPr>
                <w:rFonts w:hint="eastAsia" w:cs="Times New Roman"/>
                <w:sz w:val="18"/>
                <w:szCs w:val="18"/>
              </w:rPr>
              <w:t>，其中地上建筑面积32225.80m</w:t>
            </w:r>
            <w:r>
              <w:rPr>
                <w:rFonts w:hint="eastAsia" w:cs="Times New Roman"/>
                <w:sz w:val="18"/>
                <w:szCs w:val="18"/>
                <w:vertAlign w:val="superscript"/>
              </w:rPr>
              <w:t>2</w:t>
            </w:r>
            <w:r>
              <w:rPr>
                <w:rFonts w:hint="eastAsia" w:cs="Times New Roman"/>
                <w:sz w:val="18"/>
                <w:szCs w:val="18"/>
              </w:rPr>
              <w:t>，地下建筑面积962.41m</w:t>
            </w:r>
            <w:r>
              <w:rPr>
                <w:rFonts w:hint="eastAsia" w:cs="Times New Roman"/>
                <w:sz w:val="18"/>
                <w:szCs w:val="18"/>
                <w:vertAlign w:val="superscript"/>
              </w:rPr>
              <w:t>2</w:t>
            </w:r>
            <w:r>
              <w:rPr>
                <w:rFonts w:hint="eastAsia" w:cs="Times New Roman"/>
                <w:sz w:val="18"/>
                <w:szCs w:val="18"/>
              </w:rPr>
              <w:t>。绿地面</w:t>
            </w:r>
            <w:r>
              <w:rPr>
                <w:rFonts w:hint="eastAsia" w:cs="Times New Roman"/>
                <w:sz w:val="18"/>
                <w:szCs w:val="18"/>
                <w:lang w:val="en-US" w:eastAsia="zh-CN"/>
              </w:rPr>
              <w:t>积</w:t>
            </w:r>
            <w:r>
              <w:rPr>
                <w:rFonts w:hint="eastAsia" w:cs="Times New Roman"/>
                <w:sz w:val="18"/>
                <w:szCs w:val="18"/>
              </w:rPr>
              <w:t>2078.53m</w:t>
            </w:r>
            <w:r>
              <w:rPr>
                <w:rFonts w:hint="eastAsia" w:cs="Times New Roman"/>
                <w:sz w:val="18"/>
                <w:szCs w:val="18"/>
                <w:vertAlign w:val="superscript"/>
              </w:rPr>
              <w:t>2</w:t>
            </w:r>
            <w:r>
              <w:rPr>
                <w:rFonts w:hint="eastAsia" w:cs="Times New Roman"/>
                <w:sz w:val="18"/>
                <w:szCs w:val="18"/>
              </w:rPr>
              <w:t>，绿地率4.67%</w:t>
            </w:r>
          </w:p>
        </w:tc>
        <w:tc>
          <w:tcPr>
            <w:tcW w:w="1011" w:type="pct"/>
            <w:gridSpan w:val="5"/>
            <w:shd w:val="clear" w:color="auto" w:fill="auto"/>
            <w:vAlign w:val="center"/>
          </w:tcPr>
          <w:p>
            <w:pPr>
              <w:pStyle w:val="23"/>
            </w:pPr>
            <w:r>
              <w:t>建设单位及联系人</w:t>
            </w:r>
          </w:p>
        </w:tc>
        <w:tc>
          <w:tcPr>
            <w:tcW w:w="1912" w:type="pct"/>
            <w:gridSpan w:val="7"/>
            <w:shd w:val="clear" w:color="auto" w:fill="auto"/>
            <w:vAlign w:val="center"/>
          </w:tcPr>
          <w:p>
            <w:pPr>
              <w:pStyle w:val="23"/>
              <w:rPr>
                <w:rFonts w:hint="eastAsia" w:eastAsia="仿宋"/>
                <w:lang w:eastAsia="zh-CN"/>
              </w:rPr>
            </w:pPr>
            <w:r>
              <w:rPr>
                <w:rFonts w:hint="eastAsia"/>
                <w:lang w:eastAsia="zh-CN"/>
              </w:rPr>
              <w:t>成都润嘉汽车部件有限公司</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42" w:hRule="atLeast"/>
          <w:jc w:val="center"/>
        </w:trPr>
        <w:tc>
          <w:tcPr>
            <w:tcW w:w="801" w:type="pct"/>
            <w:gridSpan w:val="4"/>
            <w:vMerge w:val="continue"/>
            <w:shd w:val="clear" w:color="auto" w:fill="auto"/>
            <w:vAlign w:val="center"/>
          </w:tcPr>
          <w:p>
            <w:pPr>
              <w:pStyle w:val="23"/>
            </w:pPr>
          </w:p>
        </w:tc>
        <w:tc>
          <w:tcPr>
            <w:tcW w:w="1275" w:type="pct"/>
            <w:gridSpan w:val="3"/>
            <w:vMerge w:val="continue"/>
            <w:shd w:val="clear" w:color="auto" w:fill="auto"/>
            <w:vAlign w:val="center"/>
          </w:tcPr>
          <w:p>
            <w:pPr>
              <w:pStyle w:val="23"/>
            </w:pPr>
          </w:p>
        </w:tc>
        <w:tc>
          <w:tcPr>
            <w:tcW w:w="1011" w:type="pct"/>
            <w:gridSpan w:val="5"/>
            <w:shd w:val="clear" w:color="auto" w:fill="auto"/>
            <w:vAlign w:val="center"/>
          </w:tcPr>
          <w:p>
            <w:pPr>
              <w:pStyle w:val="23"/>
            </w:pPr>
            <w:r>
              <w:t>建设地点</w:t>
            </w:r>
          </w:p>
        </w:tc>
        <w:tc>
          <w:tcPr>
            <w:tcW w:w="1912" w:type="pct"/>
            <w:gridSpan w:val="7"/>
            <w:shd w:val="clear" w:color="auto" w:fill="auto"/>
            <w:vAlign w:val="center"/>
          </w:tcPr>
          <w:p>
            <w:pPr>
              <w:pStyle w:val="23"/>
              <w:rPr>
                <w:rFonts w:hint="eastAsia" w:eastAsia="仿宋"/>
                <w:lang w:eastAsia="zh-CN"/>
              </w:rPr>
            </w:pPr>
            <w:r>
              <w:rPr>
                <w:rFonts w:hint="eastAsia"/>
                <w:lang w:eastAsia="zh-CN"/>
              </w:rPr>
              <w:t>成都市天府新区</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01" w:type="pct"/>
            <w:gridSpan w:val="4"/>
            <w:vMerge w:val="continue"/>
            <w:shd w:val="clear" w:color="auto" w:fill="auto"/>
            <w:vAlign w:val="center"/>
          </w:tcPr>
          <w:p>
            <w:pPr>
              <w:pStyle w:val="23"/>
            </w:pPr>
          </w:p>
        </w:tc>
        <w:tc>
          <w:tcPr>
            <w:tcW w:w="1275" w:type="pct"/>
            <w:gridSpan w:val="3"/>
            <w:vMerge w:val="continue"/>
            <w:shd w:val="clear" w:color="auto" w:fill="auto"/>
            <w:vAlign w:val="center"/>
          </w:tcPr>
          <w:p>
            <w:pPr>
              <w:pStyle w:val="23"/>
            </w:pPr>
          </w:p>
        </w:tc>
        <w:tc>
          <w:tcPr>
            <w:tcW w:w="1011" w:type="pct"/>
            <w:gridSpan w:val="5"/>
            <w:shd w:val="clear" w:color="auto" w:fill="auto"/>
            <w:vAlign w:val="center"/>
          </w:tcPr>
          <w:p>
            <w:pPr>
              <w:pStyle w:val="23"/>
            </w:pPr>
            <w:r>
              <w:t>所属流域</w:t>
            </w:r>
          </w:p>
        </w:tc>
        <w:tc>
          <w:tcPr>
            <w:tcW w:w="1912" w:type="pct"/>
            <w:gridSpan w:val="7"/>
            <w:shd w:val="clear" w:color="auto" w:fill="auto"/>
            <w:vAlign w:val="center"/>
          </w:tcPr>
          <w:p>
            <w:pPr>
              <w:pStyle w:val="23"/>
            </w:pPr>
            <w:r>
              <w:rPr>
                <w:rFonts w:hint="eastAsia"/>
                <w:lang w:val="en-US" w:eastAsia="zh-CN"/>
              </w:rPr>
              <w:t>长</w:t>
            </w:r>
            <w:r>
              <w:rPr>
                <w:rFonts w:hint="eastAsia"/>
              </w:rPr>
              <w:t>江</w:t>
            </w:r>
            <w:r>
              <w:t>流域</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01" w:type="pct"/>
            <w:gridSpan w:val="4"/>
            <w:vMerge w:val="continue"/>
            <w:shd w:val="clear" w:color="auto" w:fill="auto"/>
            <w:vAlign w:val="center"/>
          </w:tcPr>
          <w:p>
            <w:pPr>
              <w:pStyle w:val="23"/>
            </w:pPr>
          </w:p>
        </w:tc>
        <w:tc>
          <w:tcPr>
            <w:tcW w:w="1275" w:type="pct"/>
            <w:gridSpan w:val="3"/>
            <w:vMerge w:val="continue"/>
            <w:shd w:val="clear" w:color="auto" w:fill="auto"/>
            <w:vAlign w:val="center"/>
          </w:tcPr>
          <w:p>
            <w:pPr>
              <w:pStyle w:val="23"/>
            </w:pPr>
          </w:p>
        </w:tc>
        <w:tc>
          <w:tcPr>
            <w:tcW w:w="1011" w:type="pct"/>
            <w:gridSpan w:val="5"/>
            <w:shd w:val="clear" w:color="auto" w:fill="auto"/>
            <w:vAlign w:val="center"/>
          </w:tcPr>
          <w:p>
            <w:pPr>
              <w:pStyle w:val="23"/>
            </w:pPr>
            <w:r>
              <w:t>工程总投资</w:t>
            </w:r>
          </w:p>
        </w:tc>
        <w:tc>
          <w:tcPr>
            <w:tcW w:w="1912" w:type="pct"/>
            <w:gridSpan w:val="7"/>
            <w:shd w:val="clear" w:color="auto" w:fill="auto"/>
            <w:vAlign w:val="center"/>
          </w:tcPr>
          <w:p>
            <w:pPr>
              <w:pStyle w:val="23"/>
            </w:pPr>
            <w:r>
              <w:rPr>
                <w:rFonts w:hint="eastAsia"/>
                <w:lang w:eastAsia="zh-CN"/>
              </w:rPr>
              <w:t>24000</w:t>
            </w:r>
            <w:r>
              <w:rPr>
                <w:rFonts w:hint="eastAsia"/>
              </w:rPr>
              <w:t>万元</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01" w:type="pct"/>
            <w:gridSpan w:val="4"/>
            <w:vMerge w:val="continue"/>
            <w:shd w:val="clear" w:color="auto" w:fill="auto"/>
            <w:vAlign w:val="center"/>
          </w:tcPr>
          <w:p>
            <w:pPr>
              <w:pStyle w:val="23"/>
            </w:pPr>
          </w:p>
        </w:tc>
        <w:tc>
          <w:tcPr>
            <w:tcW w:w="1275" w:type="pct"/>
            <w:gridSpan w:val="3"/>
            <w:vMerge w:val="continue"/>
            <w:shd w:val="clear" w:color="auto" w:fill="auto"/>
            <w:vAlign w:val="center"/>
          </w:tcPr>
          <w:p>
            <w:pPr>
              <w:pStyle w:val="23"/>
            </w:pPr>
          </w:p>
        </w:tc>
        <w:tc>
          <w:tcPr>
            <w:tcW w:w="1011" w:type="pct"/>
            <w:gridSpan w:val="5"/>
            <w:shd w:val="clear" w:color="auto" w:fill="auto"/>
            <w:vAlign w:val="center"/>
          </w:tcPr>
          <w:p>
            <w:pPr>
              <w:pStyle w:val="23"/>
            </w:pPr>
            <w:r>
              <w:t>工程总工期</w:t>
            </w:r>
          </w:p>
        </w:tc>
        <w:tc>
          <w:tcPr>
            <w:tcW w:w="1912" w:type="pct"/>
            <w:gridSpan w:val="7"/>
            <w:shd w:val="clear" w:color="auto" w:fill="auto"/>
            <w:vAlign w:val="center"/>
          </w:tcPr>
          <w:p>
            <w:pPr>
              <w:pStyle w:val="23"/>
              <w:rPr>
                <w:rFonts w:hint="eastAsia" w:eastAsia="仿宋"/>
                <w:lang w:eastAsia="zh-CN"/>
              </w:rPr>
            </w:pPr>
            <w:r>
              <w:rPr>
                <w:rFonts w:hint="eastAsia"/>
                <w:lang w:eastAsia="zh-CN"/>
              </w:rPr>
              <w:t>2016年9月</w:t>
            </w:r>
            <w:r>
              <w:t>～</w:t>
            </w:r>
            <w:r>
              <w:rPr>
                <w:rFonts w:hint="eastAsia"/>
                <w:lang w:eastAsia="zh-CN"/>
              </w:rPr>
              <w:t>2017年9月</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000" w:type="pct"/>
            <w:gridSpan w:val="19"/>
            <w:shd w:val="clear" w:color="auto" w:fill="auto"/>
            <w:vAlign w:val="center"/>
          </w:tcPr>
          <w:p>
            <w:pPr>
              <w:pStyle w:val="23"/>
            </w:pPr>
            <w:r>
              <w:t>水土保持监测指标</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382" w:type="pct"/>
            <w:gridSpan w:val="5"/>
            <w:shd w:val="clear" w:color="auto" w:fill="auto"/>
            <w:vAlign w:val="center"/>
          </w:tcPr>
          <w:p>
            <w:pPr>
              <w:pStyle w:val="23"/>
            </w:pPr>
            <w:r>
              <w:t>监测单位</w:t>
            </w:r>
          </w:p>
        </w:tc>
        <w:tc>
          <w:tcPr>
            <w:tcW w:w="2034" w:type="pct"/>
            <w:gridSpan w:val="8"/>
            <w:shd w:val="clear" w:color="auto" w:fill="auto"/>
            <w:vAlign w:val="center"/>
          </w:tcPr>
          <w:p>
            <w:pPr>
              <w:pStyle w:val="23"/>
              <w:rPr>
                <w:rFonts w:hint="eastAsia" w:eastAsia="仿宋"/>
                <w:lang w:eastAsia="zh-CN"/>
              </w:rPr>
            </w:pPr>
            <w:r>
              <w:rPr>
                <w:rFonts w:hint="eastAsia"/>
                <w:lang w:eastAsia="zh-CN"/>
              </w:rPr>
              <w:t>四川景溪工程设计有限公司</w:t>
            </w:r>
          </w:p>
        </w:tc>
        <w:tc>
          <w:tcPr>
            <w:tcW w:w="729" w:type="pct"/>
            <w:gridSpan w:val="3"/>
            <w:shd w:val="clear" w:color="auto" w:fill="auto"/>
            <w:vAlign w:val="center"/>
          </w:tcPr>
          <w:p>
            <w:pPr>
              <w:pStyle w:val="23"/>
            </w:pPr>
            <w:r>
              <w:t>联系人及电话</w:t>
            </w:r>
          </w:p>
        </w:tc>
        <w:tc>
          <w:tcPr>
            <w:tcW w:w="853" w:type="pct"/>
            <w:gridSpan w:val="3"/>
            <w:shd w:val="clear" w:color="auto" w:fill="auto"/>
            <w:vAlign w:val="center"/>
          </w:tcPr>
          <w:p>
            <w:pPr>
              <w:pStyle w:val="23"/>
              <w:rPr>
                <w:rFonts w:hint="default" w:eastAsia="仿宋"/>
                <w:lang w:val="en-US" w:eastAsia="zh-CN"/>
              </w:rPr>
            </w:pPr>
            <w:r>
              <w:rPr>
                <w:rFonts w:hint="eastAsia"/>
                <w:lang w:val="en-US" w:eastAsia="zh-CN"/>
              </w:rPr>
              <w:t>张宇15608075343</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382" w:type="pct"/>
            <w:gridSpan w:val="5"/>
            <w:shd w:val="clear" w:color="auto" w:fill="auto"/>
            <w:vAlign w:val="center"/>
          </w:tcPr>
          <w:p>
            <w:pPr>
              <w:pStyle w:val="23"/>
            </w:pPr>
            <w:r>
              <w:t>自然地理类型</w:t>
            </w:r>
          </w:p>
        </w:tc>
        <w:tc>
          <w:tcPr>
            <w:tcW w:w="2034" w:type="pct"/>
            <w:gridSpan w:val="8"/>
            <w:shd w:val="clear" w:color="auto" w:fill="auto"/>
            <w:vAlign w:val="center"/>
          </w:tcPr>
          <w:p>
            <w:pPr>
              <w:pStyle w:val="23"/>
            </w:pPr>
            <w:r>
              <w:rPr>
                <w:rFonts w:hint="eastAsia"/>
              </w:rPr>
              <w:t>浅丘地貌</w:t>
            </w:r>
          </w:p>
        </w:tc>
        <w:tc>
          <w:tcPr>
            <w:tcW w:w="729" w:type="pct"/>
            <w:gridSpan w:val="3"/>
            <w:shd w:val="clear" w:color="auto" w:fill="auto"/>
            <w:vAlign w:val="center"/>
          </w:tcPr>
          <w:p>
            <w:pPr>
              <w:pStyle w:val="23"/>
            </w:pPr>
            <w:r>
              <w:t>防治标准</w:t>
            </w:r>
          </w:p>
        </w:tc>
        <w:tc>
          <w:tcPr>
            <w:tcW w:w="853" w:type="pct"/>
            <w:gridSpan w:val="3"/>
            <w:shd w:val="clear" w:color="auto" w:fill="auto"/>
            <w:vAlign w:val="center"/>
          </w:tcPr>
          <w:p>
            <w:pPr>
              <w:pStyle w:val="23"/>
            </w:pPr>
            <w:r>
              <w:rPr>
                <w:rFonts w:hint="eastAsia"/>
                <w:lang w:val="en-US" w:eastAsia="zh-CN"/>
              </w:rPr>
              <w:t>建设类</w:t>
            </w:r>
            <w:r>
              <w:rPr>
                <w:rFonts w:hint="eastAsia"/>
              </w:rPr>
              <w:t>一级防治标准</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218" w:type="pct"/>
            <w:vMerge w:val="restart"/>
            <w:shd w:val="clear" w:color="auto" w:fill="auto"/>
            <w:vAlign w:val="center"/>
          </w:tcPr>
          <w:p>
            <w:pPr>
              <w:pStyle w:val="23"/>
            </w:pPr>
            <w:r>
              <w:t>监测内容</w:t>
            </w:r>
          </w:p>
        </w:tc>
        <w:tc>
          <w:tcPr>
            <w:tcW w:w="1163" w:type="pct"/>
            <w:gridSpan w:val="4"/>
            <w:shd w:val="clear" w:color="auto" w:fill="auto"/>
            <w:vAlign w:val="center"/>
          </w:tcPr>
          <w:p>
            <w:pPr>
              <w:pStyle w:val="23"/>
            </w:pPr>
            <w:r>
              <w:t>监测指标</w:t>
            </w:r>
          </w:p>
        </w:tc>
        <w:tc>
          <w:tcPr>
            <w:tcW w:w="1112" w:type="pct"/>
            <w:gridSpan w:val="4"/>
            <w:shd w:val="clear" w:color="auto" w:fill="auto"/>
            <w:vAlign w:val="center"/>
          </w:tcPr>
          <w:p>
            <w:pPr>
              <w:pStyle w:val="23"/>
            </w:pPr>
            <w:r>
              <w:t>监测方法（设施）</w:t>
            </w:r>
          </w:p>
        </w:tc>
        <w:tc>
          <w:tcPr>
            <w:tcW w:w="922" w:type="pct"/>
            <w:gridSpan w:val="4"/>
            <w:shd w:val="clear" w:color="auto" w:fill="auto"/>
            <w:vAlign w:val="center"/>
          </w:tcPr>
          <w:p>
            <w:pPr>
              <w:pStyle w:val="23"/>
            </w:pPr>
            <w:r>
              <w:t>监测指标</w:t>
            </w:r>
          </w:p>
        </w:tc>
        <w:tc>
          <w:tcPr>
            <w:tcW w:w="1583" w:type="pct"/>
            <w:gridSpan w:val="6"/>
            <w:shd w:val="clear" w:color="auto" w:fill="auto"/>
            <w:vAlign w:val="center"/>
          </w:tcPr>
          <w:p>
            <w:pPr>
              <w:pStyle w:val="23"/>
            </w:pPr>
            <w:r>
              <w:t>监测方法（设施）</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218" w:type="pct"/>
            <w:vMerge w:val="continue"/>
            <w:shd w:val="clear" w:color="auto" w:fill="auto"/>
            <w:vAlign w:val="center"/>
          </w:tcPr>
          <w:p>
            <w:pPr>
              <w:pStyle w:val="23"/>
            </w:pPr>
          </w:p>
        </w:tc>
        <w:tc>
          <w:tcPr>
            <w:tcW w:w="1163" w:type="pct"/>
            <w:gridSpan w:val="4"/>
            <w:shd w:val="clear" w:color="auto" w:fill="auto"/>
            <w:vAlign w:val="center"/>
          </w:tcPr>
          <w:p>
            <w:pPr>
              <w:pStyle w:val="23"/>
            </w:pPr>
            <w:r>
              <w:t>水土流失状况监测</w:t>
            </w:r>
          </w:p>
        </w:tc>
        <w:tc>
          <w:tcPr>
            <w:tcW w:w="1112" w:type="pct"/>
            <w:gridSpan w:val="4"/>
            <w:shd w:val="clear" w:color="auto" w:fill="auto"/>
            <w:vAlign w:val="center"/>
          </w:tcPr>
          <w:p>
            <w:pPr>
              <w:pStyle w:val="23"/>
            </w:pPr>
            <w:r>
              <w:t>调查</w:t>
            </w:r>
            <w:r>
              <w:rPr>
                <w:rFonts w:hint="eastAsia"/>
              </w:rPr>
              <w:t>、巡查</w:t>
            </w:r>
            <w:r>
              <w:t>监测</w:t>
            </w:r>
          </w:p>
        </w:tc>
        <w:tc>
          <w:tcPr>
            <w:tcW w:w="922" w:type="pct"/>
            <w:gridSpan w:val="4"/>
            <w:shd w:val="clear" w:color="auto" w:fill="auto"/>
            <w:vAlign w:val="center"/>
          </w:tcPr>
          <w:p>
            <w:pPr>
              <w:pStyle w:val="23"/>
            </w:pPr>
            <w:r>
              <w:t>防治责任范围监测</w:t>
            </w:r>
          </w:p>
        </w:tc>
        <w:tc>
          <w:tcPr>
            <w:tcW w:w="1583" w:type="pct"/>
            <w:gridSpan w:val="6"/>
            <w:shd w:val="clear" w:color="auto" w:fill="auto"/>
            <w:vAlign w:val="center"/>
          </w:tcPr>
          <w:p>
            <w:pPr>
              <w:pStyle w:val="23"/>
            </w:pPr>
            <w:r>
              <w:t>调查</w:t>
            </w:r>
            <w:r>
              <w:rPr>
                <w:rFonts w:hint="eastAsia"/>
              </w:rPr>
              <w:t>、巡查</w:t>
            </w:r>
            <w:r>
              <w:t>监测</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218" w:type="pct"/>
            <w:vMerge w:val="continue"/>
            <w:shd w:val="clear" w:color="auto" w:fill="auto"/>
            <w:vAlign w:val="center"/>
          </w:tcPr>
          <w:p>
            <w:pPr>
              <w:pStyle w:val="23"/>
            </w:pPr>
          </w:p>
        </w:tc>
        <w:tc>
          <w:tcPr>
            <w:tcW w:w="1163" w:type="pct"/>
            <w:gridSpan w:val="4"/>
            <w:shd w:val="clear" w:color="auto" w:fill="auto"/>
            <w:vAlign w:val="center"/>
          </w:tcPr>
          <w:p>
            <w:pPr>
              <w:pStyle w:val="23"/>
            </w:pPr>
            <w:r>
              <w:t>水土保持措施情况监测</w:t>
            </w:r>
          </w:p>
        </w:tc>
        <w:tc>
          <w:tcPr>
            <w:tcW w:w="1112" w:type="pct"/>
            <w:gridSpan w:val="4"/>
            <w:shd w:val="clear" w:color="auto" w:fill="auto"/>
            <w:vAlign w:val="center"/>
          </w:tcPr>
          <w:p>
            <w:pPr>
              <w:pStyle w:val="23"/>
            </w:pPr>
            <w:r>
              <w:t>调查</w:t>
            </w:r>
            <w:r>
              <w:rPr>
                <w:rFonts w:hint="eastAsia"/>
              </w:rPr>
              <w:t>、巡查</w:t>
            </w:r>
            <w:r>
              <w:t>监测</w:t>
            </w:r>
          </w:p>
        </w:tc>
        <w:tc>
          <w:tcPr>
            <w:tcW w:w="922" w:type="pct"/>
            <w:gridSpan w:val="4"/>
            <w:shd w:val="clear" w:color="auto" w:fill="auto"/>
            <w:vAlign w:val="center"/>
          </w:tcPr>
          <w:p>
            <w:pPr>
              <w:pStyle w:val="23"/>
            </w:pPr>
            <w:r>
              <w:t>防治措施效果监测</w:t>
            </w:r>
          </w:p>
        </w:tc>
        <w:tc>
          <w:tcPr>
            <w:tcW w:w="1583" w:type="pct"/>
            <w:gridSpan w:val="6"/>
            <w:shd w:val="clear" w:color="auto" w:fill="auto"/>
            <w:vAlign w:val="center"/>
          </w:tcPr>
          <w:p>
            <w:pPr>
              <w:pStyle w:val="23"/>
            </w:pPr>
            <w:r>
              <w:t>调查</w:t>
            </w:r>
            <w:r>
              <w:rPr>
                <w:rFonts w:hint="eastAsia"/>
              </w:rPr>
              <w:t>、巡查</w:t>
            </w:r>
            <w:r>
              <w:t>监测</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218" w:type="pct"/>
            <w:vMerge w:val="continue"/>
            <w:shd w:val="clear" w:color="auto" w:fill="auto"/>
            <w:vAlign w:val="center"/>
          </w:tcPr>
          <w:p>
            <w:pPr>
              <w:pStyle w:val="23"/>
            </w:pPr>
          </w:p>
        </w:tc>
        <w:tc>
          <w:tcPr>
            <w:tcW w:w="1163" w:type="pct"/>
            <w:gridSpan w:val="4"/>
            <w:shd w:val="clear" w:color="auto" w:fill="auto"/>
            <w:vAlign w:val="center"/>
          </w:tcPr>
          <w:p>
            <w:pPr>
              <w:pStyle w:val="23"/>
            </w:pPr>
            <w:r>
              <w:t>水土流失危害监测</w:t>
            </w:r>
          </w:p>
        </w:tc>
        <w:tc>
          <w:tcPr>
            <w:tcW w:w="1112" w:type="pct"/>
            <w:gridSpan w:val="4"/>
            <w:shd w:val="clear" w:color="auto" w:fill="auto"/>
            <w:vAlign w:val="center"/>
          </w:tcPr>
          <w:p>
            <w:pPr>
              <w:pStyle w:val="23"/>
            </w:pPr>
            <w:r>
              <w:t>调查</w:t>
            </w:r>
            <w:r>
              <w:rPr>
                <w:rFonts w:hint="eastAsia"/>
              </w:rPr>
              <w:t>、巡查监测</w:t>
            </w:r>
          </w:p>
        </w:tc>
        <w:tc>
          <w:tcPr>
            <w:tcW w:w="922" w:type="pct"/>
            <w:gridSpan w:val="4"/>
            <w:shd w:val="clear" w:color="auto" w:fill="auto"/>
            <w:vAlign w:val="center"/>
          </w:tcPr>
          <w:p>
            <w:pPr>
              <w:pStyle w:val="23"/>
            </w:pPr>
            <w:r>
              <w:t>水土流失背景值</w:t>
            </w:r>
          </w:p>
        </w:tc>
        <w:tc>
          <w:tcPr>
            <w:tcW w:w="1583" w:type="pct"/>
            <w:gridSpan w:val="6"/>
            <w:shd w:val="clear" w:color="auto" w:fill="auto"/>
            <w:vAlign w:val="center"/>
          </w:tcPr>
          <w:p>
            <w:pPr>
              <w:pStyle w:val="23"/>
            </w:pPr>
            <w:r>
              <w:rPr>
                <w:rFonts w:hint="eastAsia"/>
                <w:lang w:eastAsia="zh-CN"/>
              </w:rPr>
              <w:t>1389</w:t>
            </w:r>
            <w:r>
              <w:rPr>
                <w:rFonts w:hint="eastAsia"/>
              </w:rPr>
              <w:t>t</w:t>
            </w:r>
            <w:r>
              <w:t>/km</w:t>
            </w:r>
            <w:r>
              <w:rPr>
                <w:vertAlign w:val="superscript"/>
              </w:rPr>
              <w:t>2</w:t>
            </w:r>
            <w:r>
              <w:t>•a</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382" w:type="pct"/>
            <w:gridSpan w:val="5"/>
            <w:shd w:val="clear" w:color="auto" w:fill="auto"/>
            <w:vAlign w:val="center"/>
          </w:tcPr>
          <w:p>
            <w:pPr>
              <w:pStyle w:val="23"/>
            </w:pPr>
            <w:r>
              <w:t>方案设计水土流失防治责任范围</w:t>
            </w:r>
          </w:p>
        </w:tc>
        <w:tc>
          <w:tcPr>
            <w:tcW w:w="1112" w:type="pct"/>
            <w:gridSpan w:val="4"/>
            <w:shd w:val="clear" w:color="auto" w:fill="auto"/>
            <w:vAlign w:val="center"/>
          </w:tcPr>
          <w:p>
            <w:pPr>
              <w:pStyle w:val="23"/>
            </w:pPr>
            <w:r>
              <w:rPr>
                <w:rFonts w:hint="eastAsia"/>
                <w:lang w:eastAsia="zh-CN"/>
              </w:rPr>
              <w:t>4.45</w:t>
            </w:r>
            <w:r>
              <w:rPr>
                <w:rFonts w:hint="eastAsia"/>
              </w:rPr>
              <w:t>h</w:t>
            </w:r>
            <w:r>
              <w:t>m</w:t>
            </w:r>
            <w:r>
              <w:rPr>
                <w:vertAlign w:val="superscript"/>
              </w:rPr>
              <w:t>2</w:t>
            </w:r>
          </w:p>
        </w:tc>
        <w:tc>
          <w:tcPr>
            <w:tcW w:w="922" w:type="pct"/>
            <w:gridSpan w:val="4"/>
            <w:shd w:val="clear" w:color="auto" w:fill="auto"/>
            <w:vAlign w:val="center"/>
          </w:tcPr>
          <w:p>
            <w:pPr>
              <w:pStyle w:val="23"/>
            </w:pPr>
            <w:r>
              <w:t>土壤容许流失量</w:t>
            </w:r>
          </w:p>
        </w:tc>
        <w:tc>
          <w:tcPr>
            <w:tcW w:w="1583" w:type="pct"/>
            <w:gridSpan w:val="6"/>
            <w:shd w:val="clear" w:color="auto" w:fill="auto"/>
            <w:vAlign w:val="center"/>
          </w:tcPr>
          <w:p>
            <w:pPr>
              <w:pStyle w:val="23"/>
            </w:pPr>
            <w:r>
              <w:rPr>
                <w:rFonts w:hint="eastAsia"/>
              </w:rPr>
              <w:t>500</w:t>
            </w:r>
            <w:r>
              <w:t>t/km</w:t>
            </w:r>
            <w:r>
              <w:rPr>
                <w:vertAlign w:val="superscript"/>
              </w:rPr>
              <w:t>2</w:t>
            </w:r>
            <w:r>
              <w:t>•a</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1" w:hRule="atLeast"/>
          <w:jc w:val="center"/>
        </w:trPr>
        <w:tc>
          <w:tcPr>
            <w:tcW w:w="1382" w:type="pct"/>
            <w:gridSpan w:val="5"/>
            <w:shd w:val="clear" w:color="auto" w:fill="auto"/>
            <w:vAlign w:val="center"/>
          </w:tcPr>
          <w:p>
            <w:pPr>
              <w:pStyle w:val="23"/>
            </w:pPr>
            <w:r>
              <w:t>水土保持投资</w:t>
            </w:r>
          </w:p>
        </w:tc>
        <w:tc>
          <w:tcPr>
            <w:tcW w:w="1112" w:type="pct"/>
            <w:gridSpan w:val="4"/>
            <w:shd w:val="clear" w:color="auto" w:fill="auto"/>
            <w:vAlign w:val="center"/>
          </w:tcPr>
          <w:p>
            <w:pPr>
              <w:pStyle w:val="23"/>
            </w:pPr>
            <w:r>
              <w:rPr>
                <w:rFonts w:hint="eastAsia"/>
                <w:lang w:eastAsia="zh-CN"/>
              </w:rPr>
              <w:t>94.83</w:t>
            </w:r>
            <w:r>
              <w:rPr>
                <w:rFonts w:hint="eastAsia"/>
              </w:rPr>
              <w:t>万元</w:t>
            </w:r>
          </w:p>
        </w:tc>
        <w:tc>
          <w:tcPr>
            <w:tcW w:w="922" w:type="pct"/>
            <w:gridSpan w:val="4"/>
            <w:shd w:val="clear" w:color="auto" w:fill="auto"/>
            <w:vAlign w:val="center"/>
          </w:tcPr>
          <w:p>
            <w:pPr>
              <w:pStyle w:val="23"/>
            </w:pPr>
            <w:r>
              <w:t>水土流失</w:t>
            </w:r>
            <w:r>
              <w:rPr>
                <w:rFonts w:hint="eastAsia"/>
              </w:rPr>
              <w:t>验收</w:t>
            </w:r>
            <w:r>
              <w:t>值</w:t>
            </w:r>
          </w:p>
        </w:tc>
        <w:tc>
          <w:tcPr>
            <w:tcW w:w="1583" w:type="pct"/>
            <w:gridSpan w:val="6"/>
            <w:shd w:val="clear" w:color="auto" w:fill="auto"/>
            <w:vAlign w:val="center"/>
          </w:tcPr>
          <w:p>
            <w:pPr>
              <w:pStyle w:val="23"/>
            </w:pPr>
            <w:r>
              <w:rPr>
                <w:rFonts w:hint="eastAsia"/>
              </w:rPr>
              <w:t>4</w:t>
            </w:r>
            <w:r>
              <w:rPr>
                <w:rFonts w:hint="eastAsia"/>
                <w:lang w:val="en-US" w:eastAsia="zh-CN"/>
              </w:rPr>
              <w:t>08</w:t>
            </w:r>
            <w:r>
              <w:rPr>
                <w:rFonts w:hint="eastAsia"/>
              </w:rPr>
              <w:t>t</w:t>
            </w:r>
            <w:r>
              <w:t>/km</w:t>
            </w:r>
            <w:r>
              <w:rPr>
                <w:vertAlign w:val="superscript"/>
              </w:rPr>
              <w:t>2</w:t>
            </w:r>
            <w:r>
              <w:t>•a</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15" w:type="pct"/>
            <w:gridSpan w:val="2"/>
            <w:vMerge w:val="restart"/>
            <w:shd w:val="clear" w:color="auto" w:fill="auto"/>
            <w:vAlign w:val="center"/>
          </w:tcPr>
          <w:p>
            <w:pPr>
              <w:pStyle w:val="23"/>
            </w:pPr>
            <w:r>
              <w:t>防治</w:t>
            </w:r>
          </w:p>
          <w:p>
            <w:pPr>
              <w:pStyle w:val="23"/>
            </w:pPr>
            <w:r>
              <w:t>措施</w:t>
            </w:r>
          </w:p>
        </w:tc>
        <w:tc>
          <w:tcPr>
            <w:tcW w:w="866" w:type="pct"/>
            <w:gridSpan w:val="3"/>
            <w:shd w:val="clear" w:color="auto" w:fill="auto"/>
            <w:vAlign w:val="center"/>
          </w:tcPr>
          <w:p>
            <w:pPr>
              <w:pStyle w:val="23"/>
            </w:pPr>
            <w:r>
              <w:t>工程措施</w:t>
            </w:r>
          </w:p>
        </w:tc>
        <w:tc>
          <w:tcPr>
            <w:tcW w:w="3617" w:type="pct"/>
            <w:gridSpan w:val="14"/>
            <w:shd w:val="clear" w:color="auto" w:fill="auto"/>
            <w:vAlign w:val="center"/>
          </w:tcPr>
          <w:p>
            <w:pPr>
              <w:adjustRightInd w:val="0"/>
              <w:snapToGrid w:val="0"/>
              <w:spacing w:line="240" w:lineRule="auto"/>
              <w:ind w:firstLine="0" w:firstLineChars="0"/>
              <w:jc w:val="left"/>
              <w:rPr>
                <w:rFonts w:hint="default" w:ascii="Times New Roman" w:hAnsi="Times New Roman" w:eastAsia="仿宋" w:cs="Times New Roman"/>
                <w:sz w:val="18"/>
                <w:szCs w:val="18"/>
              </w:rPr>
            </w:pPr>
            <w:r>
              <w:rPr>
                <w:rFonts w:hint="default" w:ascii="Times New Roman" w:hAnsi="Times New Roman" w:eastAsia="仿宋" w:cs="Times New Roman"/>
                <w:sz w:val="18"/>
                <w:szCs w:val="18"/>
                <w:lang w:eastAsia="zh-CN"/>
              </w:rPr>
              <w:t>建构筑物防治区</w:t>
            </w:r>
            <w:r>
              <w:rPr>
                <w:rFonts w:hint="default" w:ascii="Times New Roman" w:hAnsi="Times New Roman" w:eastAsia="仿宋" w:cs="Times New Roman"/>
                <w:sz w:val="18"/>
                <w:szCs w:val="18"/>
              </w:rPr>
              <w:t>：表土剥离</w:t>
            </w:r>
            <w:r>
              <w:rPr>
                <w:rFonts w:hint="default" w:ascii="Times New Roman" w:hAnsi="Times New Roman" w:eastAsia="仿宋" w:cs="Times New Roman"/>
                <w:sz w:val="18"/>
                <w:szCs w:val="18"/>
                <w:lang w:val="en-US" w:eastAsia="zh-CN"/>
              </w:rPr>
              <w:t>900</w:t>
            </w:r>
            <w:r>
              <w:rPr>
                <w:rFonts w:hint="default" w:ascii="Times New Roman" w:hAnsi="Times New Roman" w:eastAsia="仿宋" w:cs="Times New Roman"/>
                <w:sz w:val="18"/>
                <w:szCs w:val="18"/>
              </w:rPr>
              <w:t>m³；</w:t>
            </w:r>
          </w:p>
          <w:p>
            <w:pPr>
              <w:adjustRightInd w:val="0"/>
              <w:snapToGrid w:val="0"/>
              <w:spacing w:line="240" w:lineRule="auto"/>
              <w:ind w:firstLine="0" w:firstLineChars="0"/>
              <w:jc w:val="left"/>
              <w:rPr>
                <w:rFonts w:hint="default" w:ascii="Times New Roman" w:hAnsi="Times New Roman" w:eastAsia="仿宋" w:cs="Times New Roman"/>
                <w:sz w:val="18"/>
                <w:szCs w:val="18"/>
              </w:rPr>
            </w:pPr>
            <w:r>
              <w:rPr>
                <w:rFonts w:hint="default" w:ascii="Times New Roman" w:hAnsi="Times New Roman" w:eastAsia="仿宋" w:cs="Times New Roman"/>
                <w:sz w:val="18"/>
                <w:szCs w:val="18"/>
                <w:lang w:eastAsia="zh-CN"/>
              </w:rPr>
              <w:t>道路及硬化工程防治区</w:t>
            </w:r>
            <w:r>
              <w:rPr>
                <w:rFonts w:hint="default" w:ascii="Times New Roman" w:hAnsi="Times New Roman" w:eastAsia="仿宋" w:cs="Times New Roman"/>
                <w:sz w:val="18"/>
                <w:szCs w:val="18"/>
              </w:rPr>
              <w:t>：表土回覆</w:t>
            </w:r>
            <w:r>
              <w:rPr>
                <w:rFonts w:hint="default" w:ascii="Times New Roman" w:hAnsi="Times New Roman" w:eastAsia="仿宋" w:cs="Times New Roman"/>
                <w:sz w:val="18"/>
                <w:szCs w:val="18"/>
                <w:lang w:val="en-US" w:eastAsia="zh-CN"/>
              </w:rPr>
              <w:t>3</w:t>
            </w:r>
            <w:r>
              <w:rPr>
                <w:rFonts w:hint="default" w:ascii="Times New Roman" w:hAnsi="Times New Roman" w:eastAsia="仿宋" w:cs="Times New Roman"/>
                <w:sz w:val="18"/>
                <w:szCs w:val="18"/>
              </w:rPr>
              <w:t>00m³、排水沟</w:t>
            </w:r>
            <w:r>
              <w:rPr>
                <w:rFonts w:hint="default" w:ascii="Times New Roman" w:hAnsi="Times New Roman" w:eastAsia="仿宋" w:cs="Times New Roman"/>
                <w:sz w:val="18"/>
                <w:szCs w:val="18"/>
                <w:lang w:val="en-US" w:eastAsia="zh-CN"/>
              </w:rPr>
              <w:t>660</w:t>
            </w:r>
            <w:r>
              <w:rPr>
                <w:rFonts w:hint="default" w:ascii="Times New Roman" w:hAnsi="Times New Roman" w:eastAsia="仿宋" w:cs="Times New Roman"/>
                <w:sz w:val="18"/>
                <w:szCs w:val="18"/>
              </w:rPr>
              <w:t>m、</w:t>
            </w:r>
            <w:r>
              <w:rPr>
                <w:rFonts w:hint="default" w:ascii="Times New Roman" w:hAnsi="Times New Roman" w:eastAsia="仿宋" w:cs="Times New Roman"/>
                <w:sz w:val="18"/>
                <w:szCs w:val="18"/>
                <w:lang w:val="en-US" w:eastAsia="zh-CN"/>
              </w:rPr>
              <w:t>洗车槽1个</w:t>
            </w:r>
            <w:r>
              <w:rPr>
                <w:rFonts w:hint="default" w:ascii="Times New Roman" w:hAnsi="Times New Roman" w:eastAsia="仿宋" w:cs="Times New Roman"/>
                <w:sz w:val="18"/>
                <w:szCs w:val="18"/>
              </w:rPr>
              <w:t>；</w:t>
            </w:r>
          </w:p>
          <w:p>
            <w:pPr>
              <w:pStyle w:val="23"/>
              <w:jc w:val="left"/>
              <w:rPr>
                <w:rFonts w:hint="default" w:ascii="Times New Roman" w:hAnsi="Times New Roman" w:eastAsia="仿宋" w:cs="Times New Roman"/>
              </w:rPr>
            </w:pPr>
            <w:r>
              <w:rPr>
                <w:rFonts w:hint="default" w:ascii="Times New Roman" w:hAnsi="Times New Roman" w:eastAsia="仿宋" w:cs="Times New Roman"/>
                <w:sz w:val="18"/>
                <w:szCs w:val="18"/>
                <w:lang w:eastAsia="zh-CN"/>
              </w:rPr>
              <w:t>绿化防治区</w:t>
            </w:r>
            <w:r>
              <w:rPr>
                <w:rFonts w:hint="default" w:ascii="Times New Roman" w:hAnsi="Times New Roman" w:eastAsia="仿宋" w:cs="Times New Roman"/>
                <w:sz w:val="18"/>
                <w:szCs w:val="18"/>
              </w:rPr>
              <w:t>：表土回覆</w:t>
            </w:r>
            <w:r>
              <w:rPr>
                <w:rFonts w:hint="default" w:ascii="Times New Roman" w:hAnsi="Times New Roman" w:eastAsia="仿宋" w:cs="Times New Roman"/>
                <w:sz w:val="18"/>
                <w:szCs w:val="18"/>
                <w:lang w:val="en-US" w:eastAsia="zh-CN"/>
              </w:rPr>
              <w:t>6</w:t>
            </w:r>
            <w:r>
              <w:rPr>
                <w:rFonts w:hint="default" w:ascii="Times New Roman" w:hAnsi="Times New Roman" w:eastAsia="仿宋" w:cs="Times New Roman"/>
                <w:sz w:val="18"/>
                <w:szCs w:val="18"/>
              </w:rPr>
              <w:t>00m³</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15" w:type="pct"/>
            <w:gridSpan w:val="2"/>
            <w:vMerge w:val="continue"/>
            <w:shd w:val="clear" w:color="auto" w:fill="auto"/>
            <w:vAlign w:val="center"/>
          </w:tcPr>
          <w:p>
            <w:pPr>
              <w:pStyle w:val="23"/>
            </w:pPr>
          </w:p>
        </w:tc>
        <w:tc>
          <w:tcPr>
            <w:tcW w:w="866" w:type="pct"/>
            <w:gridSpan w:val="3"/>
            <w:shd w:val="clear" w:color="auto" w:fill="auto"/>
            <w:vAlign w:val="center"/>
          </w:tcPr>
          <w:p>
            <w:pPr>
              <w:pStyle w:val="23"/>
            </w:pPr>
            <w:r>
              <w:t>植物措施</w:t>
            </w:r>
          </w:p>
        </w:tc>
        <w:tc>
          <w:tcPr>
            <w:tcW w:w="3617" w:type="pct"/>
            <w:gridSpan w:val="14"/>
            <w:shd w:val="clear" w:color="auto" w:fill="auto"/>
            <w:vAlign w:val="center"/>
          </w:tcPr>
          <w:p>
            <w:pPr>
              <w:adjustRightInd w:val="0"/>
              <w:snapToGrid w:val="0"/>
              <w:spacing w:line="240" w:lineRule="auto"/>
              <w:ind w:firstLine="0" w:firstLineChars="0"/>
              <w:rPr>
                <w:rFonts w:hint="default" w:ascii="Times New Roman" w:hAnsi="Times New Roman" w:eastAsia="仿宋" w:cs="Times New Roman"/>
                <w:sz w:val="18"/>
                <w:szCs w:val="18"/>
                <w:vertAlign w:val="superscript"/>
              </w:rPr>
            </w:pPr>
            <w:r>
              <w:rPr>
                <w:rFonts w:hint="default" w:ascii="Times New Roman" w:hAnsi="Times New Roman" w:eastAsia="仿宋" w:cs="Times New Roman"/>
                <w:sz w:val="18"/>
                <w:szCs w:val="18"/>
                <w:lang w:eastAsia="zh-CN"/>
              </w:rPr>
              <w:t>道路及硬化工程防治区</w:t>
            </w:r>
            <w:r>
              <w:rPr>
                <w:rFonts w:hint="default" w:ascii="Times New Roman" w:hAnsi="Times New Roman" w:eastAsia="仿宋" w:cs="Times New Roman"/>
                <w:sz w:val="18"/>
                <w:szCs w:val="18"/>
              </w:rPr>
              <w:t>：植草</w:t>
            </w:r>
            <w:r>
              <w:rPr>
                <w:rFonts w:hint="default" w:ascii="Times New Roman" w:hAnsi="Times New Roman" w:eastAsia="仿宋" w:cs="Times New Roman"/>
                <w:sz w:val="18"/>
                <w:szCs w:val="18"/>
                <w:lang w:val="en-US" w:eastAsia="zh-CN"/>
              </w:rPr>
              <w:t>砖1100</w:t>
            </w:r>
            <w:r>
              <w:rPr>
                <w:rFonts w:hint="default" w:ascii="Times New Roman" w:hAnsi="Times New Roman" w:eastAsia="仿宋" w:cs="Times New Roman"/>
                <w:sz w:val="18"/>
                <w:szCs w:val="18"/>
              </w:rPr>
              <w:t>m</w:t>
            </w:r>
            <w:r>
              <w:rPr>
                <w:rFonts w:hint="default" w:ascii="Times New Roman" w:hAnsi="Times New Roman" w:eastAsia="仿宋" w:cs="Times New Roman"/>
                <w:sz w:val="18"/>
                <w:szCs w:val="18"/>
                <w:vertAlign w:val="superscript"/>
              </w:rPr>
              <w:t>2</w:t>
            </w:r>
          </w:p>
          <w:p>
            <w:pPr>
              <w:pStyle w:val="23"/>
              <w:jc w:val="left"/>
              <w:rPr>
                <w:rFonts w:hint="default" w:ascii="Times New Roman" w:hAnsi="Times New Roman" w:eastAsia="仿宋" w:cs="Times New Roman"/>
              </w:rPr>
            </w:pPr>
            <w:r>
              <w:rPr>
                <w:rFonts w:hint="default" w:ascii="Times New Roman" w:hAnsi="Times New Roman" w:eastAsia="仿宋" w:cs="Times New Roman"/>
                <w:sz w:val="18"/>
                <w:szCs w:val="18"/>
                <w:lang w:eastAsia="zh-CN"/>
              </w:rPr>
              <w:t>绿化防治区</w:t>
            </w:r>
            <w:r>
              <w:rPr>
                <w:rFonts w:hint="default" w:ascii="Times New Roman" w:hAnsi="Times New Roman" w:eastAsia="仿宋" w:cs="Times New Roman"/>
                <w:sz w:val="18"/>
                <w:szCs w:val="18"/>
              </w:rPr>
              <w:t>：栽植乔木216株</w:t>
            </w:r>
            <w:r>
              <w:rPr>
                <w:rFonts w:hint="default" w:ascii="Times New Roman" w:hAnsi="Times New Roman" w:eastAsia="仿宋" w:cs="Times New Roman"/>
                <w:sz w:val="18"/>
                <w:szCs w:val="18"/>
                <w:lang w:eastAsia="zh-CN"/>
              </w:rPr>
              <w:t>、</w:t>
            </w:r>
            <w:r>
              <w:rPr>
                <w:rFonts w:hint="default" w:ascii="Times New Roman" w:hAnsi="Times New Roman" w:eastAsia="仿宋" w:cs="Times New Roman"/>
                <w:sz w:val="18"/>
                <w:szCs w:val="18"/>
              </w:rPr>
              <w:t>栽植灌木980株</w:t>
            </w:r>
            <w:r>
              <w:rPr>
                <w:rFonts w:hint="default" w:ascii="Times New Roman" w:hAnsi="Times New Roman" w:eastAsia="仿宋" w:cs="Times New Roman"/>
                <w:sz w:val="18"/>
                <w:szCs w:val="18"/>
                <w:lang w:eastAsia="zh-CN"/>
              </w:rPr>
              <w:t>、</w:t>
            </w:r>
            <w:r>
              <w:rPr>
                <w:rFonts w:hint="default" w:ascii="Times New Roman" w:hAnsi="Times New Roman" w:eastAsia="仿宋" w:cs="Times New Roman"/>
                <w:sz w:val="18"/>
                <w:szCs w:val="18"/>
              </w:rPr>
              <w:t>直播种草0.1hm</w:t>
            </w:r>
            <w:r>
              <w:rPr>
                <w:rFonts w:hint="default" w:ascii="Times New Roman" w:hAnsi="Times New Roman" w:eastAsia="仿宋" w:cs="Times New Roman"/>
                <w:sz w:val="18"/>
                <w:szCs w:val="18"/>
                <w:vertAlign w:val="superscript"/>
              </w:rPr>
              <w:t>2</w:t>
            </w:r>
            <w:r>
              <w:rPr>
                <w:rFonts w:hint="default" w:ascii="Times New Roman" w:hAnsi="Times New Roman" w:eastAsia="仿宋" w:cs="Times New Roman"/>
                <w:sz w:val="18"/>
                <w:szCs w:val="18"/>
              </w:rPr>
              <w:tab/>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15" w:type="pct"/>
            <w:gridSpan w:val="2"/>
            <w:vMerge w:val="continue"/>
            <w:shd w:val="clear" w:color="auto" w:fill="auto"/>
            <w:vAlign w:val="center"/>
          </w:tcPr>
          <w:p>
            <w:pPr>
              <w:pStyle w:val="23"/>
            </w:pPr>
          </w:p>
        </w:tc>
        <w:tc>
          <w:tcPr>
            <w:tcW w:w="866" w:type="pct"/>
            <w:gridSpan w:val="3"/>
            <w:shd w:val="clear" w:color="auto" w:fill="auto"/>
            <w:vAlign w:val="center"/>
          </w:tcPr>
          <w:p>
            <w:pPr>
              <w:pStyle w:val="23"/>
            </w:pPr>
            <w:r>
              <w:rPr>
                <w:rFonts w:hint="eastAsia"/>
              </w:rPr>
              <w:t>临时措施</w:t>
            </w:r>
          </w:p>
        </w:tc>
        <w:tc>
          <w:tcPr>
            <w:tcW w:w="3617" w:type="pct"/>
            <w:gridSpan w:val="14"/>
            <w:shd w:val="clear" w:color="auto" w:fill="auto"/>
            <w:vAlign w:val="center"/>
          </w:tcPr>
          <w:p>
            <w:pPr>
              <w:adjustRightInd w:val="0"/>
              <w:snapToGrid w:val="0"/>
              <w:spacing w:line="240" w:lineRule="auto"/>
              <w:ind w:firstLine="0" w:firstLineChars="0"/>
              <w:rPr>
                <w:rFonts w:hint="default" w:ascii="Times New Roman" w:hAnsi="Times New Roman" w:eastAsia="仿宋" w:cs="Times New Roman"/>
                <w:sz w:val="18"/>
                <w:szCs w:val="18"/>
              </w:rPr>
            </w:pPr>
            <w:r>
              <w:rPr>
                <w:rFonts w:hint="default" w:ascii="Times New Roman" w:hAnsi="Times New Roman" w:eastAsia="仿宋" w:cs="Times New Roman"/>
                <w:sz w:val="18"/>
                <w:szCs w:val="18"/>
                <w:lang w:eastAsia="zh-CN"/>
              </w:rPr>
              <w:t>建构筑物防治区</w:t>
            </w:r>
            <w:r>
              <w:rPr>
                <w:rFonts w:hint="default" w:ascii="Times New Roman" w:hAnsi="Times New Roman" w:eastAsia="仿宋" w:cs="Times New Roman"/>
                <w:sz w:val="18"/>
                <w:szCs w:val="18"/>
              </w:rPr>
              <w:t>：密目网</w:t>
            </w:r>
            <w:r>
              <w:rPr>
                <w:rFonts w:hint="default" w:ascii="Times New Roman" w:hAnsi="Times New Roman" w:eastAsia="仿宋" w:cs="Times New Roman"/>
                <w:sz w:val="18"/>
                <w:szCs w:val="18"/>
                <w:lang w:val="en-US" w:eastAsia="zh-CN"/>
              </w:rPr>
              <w:t>遮盖及拆除10000</w:t>
            </w:r>
            <w:r>
              <w:rPr>
                <w:rFonts w:hint="default" w:ascii="Times New Roman" w:hAnsi="Times New Roman" w:eastAsia="仿宋" w:cs="Times New Roman"/>
                <w:sz w:val="18"/>
                <w:szCs w:val="18"/>
              </w:rPr>
              <w:t>m</w:t>
            </w:r>
            <w:r>
              <w:rPr>
                <w:rFonts w:hint="default" w:ascii="Times New Roman" w:hAnsi="Times New Roman" w:eastAsia="仿宋" w:cs="Times New Roman"/>
                <w:sz w:val="18"/>
                <w:szCs w:val="18"/>
                <w:vertAlign w:val="superscript"/>
              </w:rPr>
              <w:t>2</w:t>
            </w:r>
            <w:r>
              <w:rPr>
                <w:rFonts w:hint="default" w:ascii="Times New Roman" w:hAnsi="Times New Roman" w:eastAsia="仿宋" w:cs="Times New Roman"/>
                <w:sz w:val="18"/>
                <w:szCs w:val="18"/>
              </w:rPr>
              <w:t>、临时排水沟</w:t>
            </w:r>
            <w:r>
              <w:rPr>
                <w:rFonts w:hint="default" w:ascii="Times New Roman" w:hAnsi="Times New Roman" w:eastAsia="仿宋" w:cs="Times New Roman"/>
                <w:sz w:val="18"/>
                <w:szCs w:val="18"/>
                <w:lang w:val="en-US" w:eastAsia="zh-CN"/>
              </w:rPr>
              <w:t>162</w:t>
            </w:r>
            <w:r>
              <w:rPr>
                <w:rFonts w:hint="default" w:ascii="Times New Roman" w:hAnsi="Times New Roman" w:eastAsia="仿宋" w:cs="Times New Roman"/>
                <w:sz w:val="18"/>
                <w:szCs w:val="18"/>
              </w:rPr>
              <w:t>m³；</w:t>
            </w:r>
          </w:p>
          <w:p>
            <w:pPr>
              <w:pStyle w:val="23"/>
              <w:jc w:val="left"/>
              <w:rPr>
                <w:rFonts w:hint="default" w:ascii="Times New Roman" w:hAnsi="Times New Roman" w:eastAsia="仿宋" w:cs="Times New Roman"/>
              </w:rPr>
            </w:pPr>
            <w:r>
              <w:rPr>
                <w:rFonts w:hint="default" w:ascii="Times New Roman" w:hAnsi="Times New Roman" w:eastAsia="仿宋" w:cs="Times New Roman"/>
                <w:sz w:val="18"/>
                <w:szCs w:val="18"/>
                <w:lang w:eastAsia="zh-CN"/>
              </w:rPr>
              <w:t>道路及硬化工程防治区</w:t>
            </w:r>
            <w:r>
              <w:rPr>
                <w:rFonts w:hint="default" w:ascii="Times New Roman" w:hAnsi="Times New Roman" w:eastAsia="仿宋" w:cs="Times New Roman"/>
                <w:sz w:val="18"/>
                <w:szCs w:val="18"/>
              </w:rPr>
              <w:t>：密目网</w:t>
            </w:r>
            <w:r>
              <w:rPr>
                <w:rFonts w:hint="default" w:ascii="Times New Roman" w:hAnsi="Times New Roman" w:eastAsia="仿宋" w:cs="Times New Roman"/>
                <w:sz w:val="18"/>
                <w:szCs w:val="18"/>
                <w:lang w:val="en-US" w:eastAsia="zh-CN"/>
              </w:rPr>
              <w:t>遮盖及拆除10000</w:t>
            </w:r>
            <w:r>
              <w:rPr>
                <w:rFonts w:hint="default" w:ascii="Times New Roman" w:hAnsi="Times New Roman" w:eastAsia="仿宋" w:cs="Times New Roman"/>
                <w:sz w:val="18"/>
                <w:szCs w:val="18"/>
              </w:rPr>
              <w:t>m</w:t>
            </w:r>
            <w:r>
              <w:rPr>
                <w:rFonts w:hint="default" w:ascii="Times New Roman" w:hAnsi="Times New Roman" w:eastAsia="仿宋" w:cs="Times New Roman"/>
                <w:sz w:val="18"/>
                <w:szCs w:val="18"/>
                <w:vertAlign w:val="superscript"/>
              </w:rPr>
              <w:t>2</w:t>
            </w:r>
            <w:r>
              <w:rPr>
                <w:rFonts w:hint="default" w:ascii="Times New Roman" w:hAnsi="Times New Roman" w:eastAsia="仿宋" w:cs="Times New Roman"/>
                <w:sz w:val="18"/>
                <w:szCs w:val="18"/>
              </w:rPr>
              <w:t>、临时排水沟</w:t>
            </w:r>
            <w:r>
              <w:rPr>
                <w:rFonts w:hint="default" w:ascii="Times New Roman" w:hAnsi="Times New Roman" w:eastAsia="仿宋" w:cs="Times New Roman"/>
                <w:sz w:val="18"/>
                <w:szCs w:val="18"/>
                <w:lang w:val="en-US" w:eastAsia="zh-CN"/>
              </w:rPr>
              <w:t>21.8</w:t>
            </w:r>
            <w:r>
              <w:rPr>
                <w:rFonts w:hint="default" w:ascii="Times New Roman" w:hAnsi="Times New Roman" w:eastAsia="仿宋" w:cs="Times New Roman"/>
                <w:sz w:val="18"/>
                <w:szCs w:val="18"/>
              </w:rPr>
              <w:t>m³</w:t>
            </w:r>
            <w:r>
              <w:rPr>
                <w:rFonts w:hint="default" w:ascii="Times New Roman" w:hAnsi="Times New Roman" w:eastAsia="仿宋" w:cs="Times New Roman"/>
                <w:sz w:val="18"/>
                <w:szCs w:val="18"/>
                <w:lang w:eastAsia="zh-CN"/>
              </w:rPr>
              <w:t>、</w:t>
            </w:r>
            <w:r>
              <w:rPr>
                <w:rFonts w:hint="default" w:ascii="Times New Roman" w:hAnsi="Times New Roman" w:eastAsia="仿宋" w:cs="Times New Roman"/>
                <w:sz w:val="18"/>
                <w:szCs w:val="18"/>
                <w:lang w:val="en-US" w:eastAsia="zh-CN"/>
              </w:rPr>
              <w:t>沉砂池1.72</w:t>
            </w:r>
            <w:r>
              <w:rPr>
                <w:rFonts w:hint="default" w:ascii="Times New Roman" w:hAnsi="Times New Roman" w:eastAsia="仿宋" w:cs="Times New Roman"/>
                <w:sz w:val="18"/>
                <w:szCs w:val="18"/>
              </w:rPr>
              <w:t>m³</w:t>
            </w:r>
            <w:r>
              <w:rPr>
                <w:rFonts w:hint="default" w:ascii="Times New Roman" w:hAnsi="Times New Roman" w:eastAsia="仿宋" w:cs="Times New Roman"/>
                <w:sz w:val="18"/>
                <w:szCs w:val="18"/>
                <w:lang w:val="en-US" w:eastAsia="zh-CN"/>
              </w:rPr>
              <w:t>、土袋挡墙及拆除51.2</w:t>
            </w:r>
            <w:r>
              <w:rPr>
                <w:rFonts w:hint="default" w:ascii="Times New Roman" w:hAnsi="Times New Roman" w:eastAsia="仿宋" w:cs="Times New Roman"/>
                <w:sz w:val="18"/>
                <w:szCs w:val="18"/>
              </w:rPr>
              <w:t>m³</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15" w:type="pct"/>
            <w:gridSpan w:val="2"/>
            <w:vMerge w:val="restart"/>
            <w:shd w:val="clear" w:color="auto" w:fill="auto"/>
            <w:vAlign w:val="center"/>
          </w:tcPr>
          <w:p>
            <w:pPr>
              <w:pStyle w:val="23"/>
            </w:pPr>
            <w:r>
              <w:t>监测结论</w:t>
            </w:r>
          </w:p>
        </w:tc>
        <w:tc>
          <w:tcPr>
            <w:tcW w:w="272" w:type="pct"/>
            <w:vMerge w:val="restart"/>
            <w:shd w:val="clear" w:color="auto" w:fill="auto"/>
            <w:vAlign w:val="center"/>
          </w:tcPr>
          <w:p>
            <w:pPr>
              <w:pStyle w:val="23"/>
            </w:pPr>
            <w:r>
              <w:t>防治效果</w:t>
            </w:r>
          </w:p>
        </w:tc>
        <w:tc>
          <w:tcPr>
            <w:tcW w:w="593" w:type="pct"/>
            <w:gridSpan w:val="2"/>
            <w:shd w:val="clear" w:color="auto" w:fill="auto"/>
            <w:vAlign w:val="center"/>
          </w:tcPr>
          <w:p>
            <w:pPr>
              <w:pStyle w:val="23"/>
            </w:pPr>
            <w:r>
              <w:t>分类指标</w:t>
            </w:r>
          </w:p>
        </w:tc>
        <w:tc>
          <w:tcPr>
            <w:tcW w:w="441" w:type="pct"/>
            <w:shd w:val="clear" w:color="auto" w:fill="auto"/>
            <w:vAlign w:val="center"/>
          </w:tcPr>
          <w:p>
            <w:pPr>
              <w:pStyle w:val="23"/>
            </w:pPr>
            <w:r>
              <w:t>目标值</w:t>
            </w:r>
          </w:p>
          <w:p>
            <w:pPr>
              <w:pStyle w:val="23"/>
            </w:pPr>
            <w:r>
              <w:t>（%）</w:t>
            </w:r>
          </w:p>
        </w:tc>
        <w:tc>
          <w:tcPr>
            <w:tcW w:w="418" w:type="pct"/>
            <w:gridSpan w:val="2"/>
            <w:shd w:val="clear" w:color="auto" w:fill="auto"/>
            <w:vAlign w:val="center"/>
          </w:tcPr>
          <w:p>
            <w:pPr>
              <w:pStyle w:val="23"/>
            </w:pPr>
            <w:r>
              <w:rPr>
                <w:rFonts w:hint="eastAsia"/>
              </w:rPr>
              <w:t>完成</w:t>
            </w:r>
            <w:r>
              <w:t>值（%）</w:t>
            </w:r>
          </w:p>
        </w:tc>
        <w:tc>
          <w:tcPr>
            <w:tcW w:w="2757" w:type="pct"/>
            <w:gridSpan w:val="11"/>
            <w:shd w:val="clear" w:color="auto" w:fill="auto"/>
            <w:vAlign w:val="center"/>
          </w:tcPr>
          <w:p>
            <w:pPr>
              <w:pStyle w:val="23"/>
            </w:pPr>
            <w:r>
              <w:t>实际监测数量</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15" w:type="pct"/>
            <w:gridSpan w:val="2"/>
            <w:vMerge w:val="continue"/>
            <w:shd w:val="clear" w:color="auto" w:fill="auto"/>
            <w:vAlign w:val="center"/>
          </w:tcPr>
          <w:p>
            <w:pPr>
              <w:pStyle w:val="23"/>
            </w:pPr>
          </w:p>
        </w:tc>
        <w:tc>
          <w:tcPr>
            <w:tcW w:w="272" w:type="pct"/>
            <w:vMerge w:val="continue"/>
            <w:shd w:val="clear" w:color="auto" w:fill="auto"/>
            <w:vAlign w:val="center"/>
          </w:tcPr>
          <w:p>
            <w:pPr>
              <w:pStyle w:val="23"/>
            </w:pPr>
          </w:p>
        </w:tc>
        <w:tc>
          <w:tcPr>
            <w:tcW w:w="593" w:type="pct"/>
            <w:gridSpan w:val="2"/>
            <w:shd w:val="clear" w:color="auto" w:fill="auto"/>
            <w:vAlign w:val="center"/>
          </w:tcPr>
          <w:p>
            <w:pPr>
              <w:pStyle w:val="23"/>
            </w:pPr>
            <w:r>
              <w:t>扰动土地整治率</w:t>
            </w:r>
          </w:p>
        </w:tc>
        <w:tc>
          <w:tcPr>
            <w:tcW w:w="441" w:type="pct"/>
            <w:shd w:val="clear" w:color="auto" w:fill="auto"/>
            <w:vAlign w:val="center"/>
          </w:tcPr>
          <w:p>
            <w:pPr>
              <w:pStyle w:val="23"/>
            </w:pPr>
            <w:r>
              <w:rPr>
                <w:rFonts w:hint="eastAsia"/>
              </w:rPr>
              <w:t>95%</w:t>
            </w:r>
          </w:p>
        </w:tc>
        <w:tc>
          <w:tcPr>
            <w:tcW w:w="418" w:type="pct"/>
            <w:gridSpan w:val="2"/>
            <w:shd w:val="clear" w:color="auto" w:fill="auto"/>
            <w:vAlign w:val="center"/>
          </w:tcPr>
          <w:p>
            <w:pPr>
              <w:pStyle w:val="23"/>
            </w:pPr>
            <w:r>
              <w:rPr>
                <w:rFonts w:hint="eastAsia"/>
                <w:lang w:eastAsia="zh-CN"/>
              </w:rPr>
              <w:t>99.97</w:t>
            </w:r>
            <w:r>
              <w:rPr>
                <w:rFonts w:hint="eastAsia"/>
              </w:rPr>
              <w:t>%</w:t>
            </w:r>
          </w:p>
        </w:tc>
        <w:tc>
          <w:tcPr>
            <w:tcW w:w="452" w:type="pct"/>
            <w:gridSpan w:val="2"/>
            <w:shd w:val="clear" w:color="auto" w:fill="auto"/>
            <w:vAlign w:val="center"/>
          </w:tcPr>
          <w:p>
            <w:pPr>
              <w:pStyle w:val="23"/>
            </w:pPr>
            <w:r>
              <w:t>防治措施面积</w:t>
            </w:r>
          </w:p>
        </w:tc>
        <w:tc>
          <w:tcPr>
            <w:tcW w:w="380" w:type="pct"/>
            <w:shd w:val="clear" w:color="auto" w:fill="auto"/>
            <w:vAlign w:val="center"/>
          </w:tcPr>
          <w:p>
            <w:pPr>
              <w:pStyle w:val="23"/>
            </w:pPr>
            <w:r>
              <w:rPr>
                <w:rFonts w:hint="eastAsia"/>
                <w:lang w:eastAsia="zh-CN"/>
              </w:rPr>
              <w:t>0.32</w:t>
            </w:r>
            <w:r>
              <w:t>hm</w:t>
            </w:r>
            <w:r>
              <w:rPr>
                <w:vertAlign w:val="superscript"/>
              </w:rPr>
              <w:t>2</w:t>
            </w:r>
          </w:p>
        </w:tc>
        <w:tc>
          <w:tcPr>
            <w:tcW w:w="527" w:type="pct"/>
            <w:gridSpan w:val="3"/>
            <w:shd w:val="clear" w:color="auto" w:fill="auto"/>
            <w:vAlign w:val="center"/>
          </w:tcPr>
          <w:p>
            <w:pPr>
              <w:pStyle w:val="23"/>
            </w:pPr>
            <w:r>
              <w:t>永久建筑物及硬化面积</w:t>
            </w:r>
          </w:p>
        </w:tc>
        <w:tc>
          <w:tcPr>
            <w:tcW w:w="379" w:type="pct"/>
            <w:shd w:val="clear" w:color="auto" w:fill="auto"/>
            <w:vAlign w:val="center"/>
          </w:tcPr>
          <w:p>
            <w:pPr>
              <w:pStyle w:val="23"/>
            </w:pPr>
            <w:r>
              <w:rPr>
                <w:rFonts w:hint="eastAsia"/>
                <w:lang w:eastAsia="zh-CN"/>
              </w:rPr>
              <w:t>4.13</w:t>
            </w:r>
            <w:r>
              <w:t>hm</w:t>
            </w:r>
            <w:r>
              <w:rPr>
                <w:vertAlign w:val="superscript"/>
              </w:rPr>
              <w:t>2</w:t>
            </w:r>
          </w:p>
        </w:tc>
        <w:tc>
          <w:tcPr>
            <w:tcW w:w="528" w:type="pct"/>
            <w:gridSpan w:val="3"/>
            <w:shd w:val="clear" w:color="auto" w:fill="auto"/>
            <w:vAlign w:val="center"/>
          </w:tcPr>
          <w:p>
            <w:pPr>
              <w:pStyle w:val="23"/>
            </w:pPr>
            <w:r>
              <w:t>扰动土地总面积</w:t>
            </w:r>
          </w:p>
        </w:tc>
        <w:tc>
          <w:tcPr>
            <w:tcW w:w="490" w:type="pct"/>
            <w:shd w:val="clear" w:color="auto" w:fill="auto"/>
            <w:vAlign w:val="center"/>
          </w:tcPr>
          <w:p>
            <w:pPr>
              <w:pStyle w:val="23"/>
            </w:pPr>
            <w:r>
              <w:rPr>
                <w:rFonts w:hint="eastAsia"/>
                <w:lang w:eastAsia="zh-CN"/>
              </w:rPr>
              <w:t>4.45</w:t>
            </w:r>
            <w:r>
              <w:t>hm</w:t>
            </w:r>
            <w:r>
              <w:rPr>
                <w:vertAlign w:val="superscript"/>
              </w:rPr>
              <w:t>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15" w:type="pct"/>
            <w:gridSpan w:val="2"/>
            <w:vMerge w:val="continue"/>
            <w:shd w:val="clear" w:color="auto" w:fill="auto"/>
            <w:vAlign w:val="center"/>
          </w:tcPr>
          <w:p>
            <w:pPr>
              <w:pStyle w:val="23"/>
            </w:pPr>
          </w:p>
        </w:tc>
        <w:tc>
          <w:tcPr>
            <w:tcW w:w="272" w:type="pct"/>
            <w:vMerge w:val="continue"/>
            <w:shd w:val="clear" w:color="auto" w:fill="auto"/>
            <w:vAlign w:val="center"/>
          </w:tcPr>
          <w:p>
            <w:pPr>
              <w:pStyle w:val="23"/>
            </w:pPr>
          </w:p>
        </w:tc>
        <w:tc>
          <w:tcPr>
            <w:tcW w:w="593" w:type="pct"/>
            <w:gridSpan w:val="2"/>
            <w:shd w:val="clear" w:color="auto" w:fill="auto"/>
            <w:vAlign w:val="center"/>
          </w:tcPr>
          <w:p>
            <w:pPr>
              <w:pStyle w:val="23"/>
            </w:pPr>
            <w:r>
              <w:t>水土流失</w:t>
            </w:r>
            <w:r>
              <w:rPr>
                <w:rFonts w:hint="eastAsia"/>
              </w:rPr>
              <w:t>总</w:t>
            </w:r>
            <w:r>
              <w:t>治理度</w:t>
            </w:r>
          </w:p>
        </w:tc>
        <w:tc>
          <w:tcPr>
            <w:tcW w:w="441" w:type="pct"/>
            <w:shd w:val="clear" w:color="auto" w:fill="auto"/>
            <w:vAlign w:val="center"/>
          </w:tcPr>
          <w:p>
            <w:pPr>
              <w:pStyle w:val="23"/>
            </w:pPr>
            <w:r>
              <w:rPr>
                <w:rFonts w:hint="eastAsia"/>
              </w:rPr>
              <w:t>97%</w:t>
            </w:r>
          </w:p>
        </w:tc>
        <w:tc>
          <w:tcPr>
            <w:tcW w:w="418" w:type="pct"/>
            <w:gridSpan w:val="2"/>
            <w:shd w:val="clear" w:color="auto" w:fill="auto"/>
            <w:vAlign w:val="center"/>
          </w:tcPr>
          <w:p>
            <w:pPr>
              <w:pStyle w:val="23"/>
            </w:pPr>
            <w:r>
              <w:rPr>
                <w:rFonts w:hint="eastAsia"/>
                <w:lang w:eastAsia="zh-CN"/>
              </w:rPr>
              <w:t>99.63</w:t>
            </w:r>
            <w:r>
              <w:rPr>
                <w:rFonts w:hint="eastAsia"/>
              </w:rPr>
              <w:t xml:space="preserve">% </w:t>
            </w:r>
          </w:p>
        </w:tc>
        <w:tc>
          <w:tcPr>
            <w:tcW w:w="832" w:type="pct"/>
            <w:gridSpan w:val="3"/>
            <w:shd w:val="clear" w:color="auto" w:fill="auto"/>
            <w:vAlign w:val="center"/>
          </w:tcPr>
          <w:p>
            <w:pPr>
              <w:pStyle w:val="23"/>
            </w:pPr>
            <w:r>
              <w:t>防治责任范围面积</w:t>
            </w:r>
          </w:p>
        </w:tc>
        <w:tc>
          <w:tcPr>
            <w:tcW w:w="527" w:type="pct"/>
            <w:gridSpan w:val="3"/>
            <w:shd w:val="clear" w:color="auto" w:fill="auto"/>
            <w:vAlign w:val="center"/>
          </w:tcPr>
          <w:p>
            <w:pPr>
              <w:pStyle w:val="23"/>
            </w:pPr>
            <w:r>
              <w:rPr>
                <w:rFonts w:hint="eastAsia"/>
                <w:lang w:eastAsia="zh-CN"/>
              </w:rPr>
              <w:t>4.45</w:t>
            </w:r>
            <w:r>
              <w:t>hm</w:t>
            </w:r>
            <w:r>
              <w:rPr>
                <w:vertAlign w:val="superscript"/>
              </w:rPr>
              <w:t>2</w:t>
            </w:r>
          </w:p>
        </w:tc>
        <w:tc>
          <w:tcPr>
            <w:tcW w:w="787" w:type="pct"/>
            <w:gridSpan w:val="3"/>
            <w:shd w:val="clear" w:color="auto" w:fill="auto"/>
            <w:vAlign w:val="center"/>
          </w:tcPr>
          <w:p>
            <w:pPr>
              <w:pStyle w:val="23"/>
            </w:pPr>
            <w:r>
              <w:t>水土流失</w:t>
            </w:r>
          </w:p>
          <w:p>
            <w:pPr>
              <w:pStyle w:val="23"/>
            </w:pPr>
            <w:r>
              <w:t>面积</w:t>
            </w:r>
          </w:p>
        </w:tc>
        <w:tc>
          <w:tcPr>
            <w:tcW w:w="610" w:type="pct"/>
            <w:gridSpan w:val="2"/>
            <w:shd w:val="clear" w:color="auto" w:fill="auto"/>
            <w:vAlign w:val="center"/>
          </w:tcPr>
          <w:p>
            <w:pPr>
              <w:pStyle w:val="23"/>
            </w:pPr>
            <w:r>
              <w:rPr>
                <w:rFonts w:hint="eastAsia"/>
                <w:lang w:eastAsia="zh-CN"/>
              </w:rPr>
              <w:t>0.32</w:t>
            </w:r>
            <w:r>
              <w:t>hm</w:t>
            </w:r>
            <w:r>
              <w:rPr>
                <w:vertAlign w:val="superscript"/>
              </w:rPr>
              <w:t>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15" w:type="pct"/>
            <w:gridSpan w:val="2"/>
            <w:vMerge w:val="continue"/>
            <w:shd w:val="clear" w:color="auto" w:fill="auto"/>
            <w:vAlign w:val="center"/>
          </w:tcPr>
          <w:p>
            <w:pPr>
              <w:pStyle w:val="23"/>
            </w:pPr>
          </w:p>
        </w:tc>
        <w:tc>
          <w:tcPr>
            <w:tcW w:w="272" w:type="pct"/>
            <w:vMerge w:val="continue"/>
            <w:shd w:val="clear" w:color="auto" w:fill="auto"/>
            <w:vAlign w:val="center"/>
          </w:tcPr>
          <w:p>
            <w:pPr>
              <w:pStyle w:val="23"/>
            </w:pPr>
          </w:p>
        </w:tc>
        <w:tc>
          <w:tcPr>
            <w:tcW w:w="593" w:type="pct"/>
            <w:gridSpan w:val="2"/>
            <w:shd w:val="clear" w:color="auto" w:fill="auto"/>
            <w:vAlign w:val="center"/>
          </w:tcPr>
          <w:p>
            <w:pPr>
              <w:pStyle w:val="23"/>
            </w:pPr>
            <w:r>
              <w:t>土壤流失控制比</w:t>
            </w:r>
          </w:p>
        </w:tc>
        <w:tc>
          <w:tcPr>
            <w:tcW w:w="441" w:type="pct"/>
            <w:shd w:val="clear" w:color="auto" w:fill="auto"/>
            <w:vAlign w:val="center"/>
          </w:tcPr>
          <w:p>
            <w:pPr>
              <w:pStyle w:val="23"/>
            </w:pPr>
            <w:r>
              <w:rPr>
                <w:rFonts w:hint="eastAsia"/>
              </w:rPr>
              <w:t>1.0</w:t>
            </w:r>
          </w:p>
        </w:tc>
        <w:tc>
          <w:tcPr>
            <w:tcW w:w="418" w:type="pct"/>
            <w:gridSpan w:val="2"/>
            <w:shd w:val="clear" w:color="auto" w:fill="auto"/>
            <w:vAlign w:val="center"/>
          </w:tcPr>
          <w:p>
            <w:pPr>
              <w:pStyle w:val="23"/>
              <w:rPr>
                <w:rFonts w:hint="eastAsia" w:eastAsia="仿宋"/>
                <w:lang w:eastAsia="zh-CN"/>
              </w:rPr>
            </w:pPr>
            <w:r>
              <w:rPr>
                <w:rFonts w:hint="eastAsia"/>
              </w:rPr>
              <w:t>1.2</w:t>
            </w:r>
            <w:r>
              <w:rPr>
                <w:rFonts w:hint="eastAsia"/>
                <w:lang w:val="en-US" w:eastAsia="zh-CN"/>
              </w:rPr>
              <w:t>3</w:t>
            </w:r>
          </w:p>
        </w:tc>
        <w:tc>
          <w:tcPr>
            <w:tcW w:w="832" w:type="pct"/>
            <w:gridSpan w:val="3"/>
            <w:shd w:val="clear" w:color="auto" w:fill="auto"/>
            <w:vAlign w:val="center"/>
          </w:tcPr>
          <w:p>
            <w:pPr>
              <w:pStyle w:val="23"/>
            </w:pPr>
            <w:r>
              <w:t>工程措施面积</w:t>
            </w:r>
          </w:p>
        </w:tc>
        <w:tc>
          <w:tcPr>
            <w:tcW w:w="527" w:type="pct"/>
            <w:gridSpan w:val="3"/>
            <w:shd w:val="clear" w:color="auto" w:fill="auto"/>
            <w:vAlign w:val="center"/>
          </w:tcPr>
          <w:p>
            <w:pPr>
              <w:pStyle w:val="23"/>
            </w:pPr>
            <w:r>
              <w:rPr>
                <w:rFonts w:hint="eastAsia"/>
                <w:lang w:eastAsia="zh-CN"/>
              </w:rPr>
              <w:t>0.01</w:t>
            </w:r>
            <w:r>
              <w:t>hm</w:t>
            </w:r>
            <w:r>
              <w:rPr>
                <w:vertAlign w:val="superscript"/>
              </w:rPr>
              <w:t>2</w:t>
            </w:r>
          </w:p>
        </w:tc>
        <w:tc>
          <w:tcPr>
            <w:tcW w:w="787" w:type="pct"/>
            <w:gridSpan w:val="3"/>
            <w:shd w:val="clear" w:color="auto" w:fill="auto"/>
            <w:vAlign w:val="center"/>
          </w:tcPr>
          <w:p>
            <w:pPr>
              <w:pStyle w:val="23"/>
            </w:pPr>
            <w:r>
              <w:t>容许土壤</w:t>
            </w:r>
          </w:p>
          <w:p>
            <w:pPr>
              <w:pStyle w:val="23"/>
            </w:pPr>
            <w:r>
              <w:t>流失量</w:t>
            </w:r>
          </w:p>
        </w:tc>
        <w:tc>
          <w:tcPr>
            <w:tcW w:w="610" w:type="pct"/>
            <w:gridSpan w:val="2"/>
            <w:shd w:val="clear" w:color="auto" w:fill="auto"/>
            <w:vAlign w:val="center"/>
          </w:tcPr>
          <w:p>
            <w:pPr>
              <w:pStyle w:val="23"/>
            </w:pPr>
            <w:r>
              <w:t>500t/km</w:t>
            </w:r>
            <w:r>
              <w:rPr>
                <w:vertAlign w:val="superscript"/>
              </w:rPr>
              <w:t>2</w:t>
            </w:r>
            <w:r>
              <w:t>•a</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15" w:type="pct"/>
            <w:gridSpan w:val="2"/>
            <w:vMerge w:val="continue"/>
            <w:shd w:val="clear" w:color="auto" w:fill="auto"/>
            <w:vAlign w:val="center"/>
          </w:tcPr>
          <w:p>
            <w:pPr>
              <w:pStyle w:val="23"/>
            </w:pPr>
          </w:p>
        </w:tc>
        <w:tc>
          <w:tcPr>
            <w:tcW w:w="272" w:type="pct"/>
            <w:vMerge w:val="continue"/>
            <w:shd w:val="clear" w:color="auto" w:fill="auto"/>
            <w:vAlign w:val="center"/>
          </w:tcPr>
          <w:p>
            <w:pPr>
              <w:pStyle w:val="23"/>
            </w:pPr>
          </w:p>
        </w:tc>
        <w:tc>
          <w:tcPr>
            <w:tcW w:w="593" w:type="pct"/>
            <w:gridSpan w:val="2"/>
            <w:shd w:val="clear" w:color="auto" w:fill="auto"/>
            <w:vAlign w:val="center"/>
          </w:tcPr>
          <w:p>
            <w:pPr>
              <w:pStyle w:val="23"/>
            </w:pPr>
            <w:r>
              <w:rPr>
                <w:rFonts w:hint="eastAsia"/>
              </w:rPr>
              <w:t>拦渣</w:t>
            </w:r>
            <w:r>
              <w:t>率</w:t>
            </w:r>
          </w:p>
        </w:tc>
        <w:tc>
          <w:tcPr>
            <w:tcW w:w="441" w:type="pct"/>
            <w:shd w:val="clear" w:color="auto" w:fill="auto"/>
            <w:vAlign w:val="center"/>
          </w:tcPr>
          <w:p>
            <w:pPr>
              <w:pStyle w:val="23"/>
            </w:pPr>
            <w:r>
              <w:rPr>
                <w:rFonts w:hint="eastAsia"/>
              </w:rPr>
              <w:t>95%</w:t>
            </w:r>
          </w:p>
        </w:tc>
        <w:tc>
          <w:tcPr>
            <w:tcW w:w="418" w:type="pct"/>
            <w:gridSpan w:val="2"/>
            <w:shd w:val="clear" w:color="auto" w:fill="auto"/>
            <w:vAlign w:val="center"/>
          </w:tcPr>
          <w:p>
            <w:pPr>
              <w:pStyle w:val="23"/>
            </w:pPr>
            <w:r>
              <w:rPr>
                <w:rFonts w:hint="eastAsia"/>
                <w:lang w:eastAsia="zh-CN"/>
              </w:rPr>
              <w:t>99.84</w:t>
            </w:r>
            <w:r>
              <w:rPr>
                <w:rFonts w:hint="eastAsia"/>
              </w:rPr>
              <w:t>%</w:t>
            </w:r>
          </w:p>
        </w:tc>
        <w:tc>
          <w:tcPr>
            <w:tcW w:w="832" w:type="pct"/>
            <w:gridSpan w:val="3"/>
            <w:shd w:val="clear" w:color="auto" w:fill="auto"/>
            <w:vAlign w:val="center"/>
          </w:tcPr>
          <w:p>
            <w:pPr>
              <w:pStyle w:val="23"/>
            </w:pPr>
            <w:r>
              <w:t>植物措施面积</w:t>
            </w:r>
          </w:p>
        </w:tc>
        <w:tc>
          <w:tcPr>
            <w:tcW w:w="527" w:type="pct"/>
            <w:gridSpan w:val="3"/>
            <w:shd w:val="clear" w:color="auto" w:fill="auto"/>
            <w:vAlign w:val="center"/>
          </w:tcPr>
          <w:p>
            <w:pPr>
              <w:pStyle w:val="23"/>
            </w:pPr>
            <w:r>
              <w:rPr>
                <w:rFonts w:hint="eastAsia"/>
                <w:lang w:eastAsia="zh-CN"/>
              </w:rPr>
              <w:t>0.31</w:t>
            </w:r>
            <w:r>
              <w:rPr>
                <w:rFonts w:hint="eastAsia"/>
              </w:rPr>
              <w:t xml:space="preserve"> </w:t>
            </w:r>
            <w:r>
              <w:t>hm</w:t>
            </w:r>
            <w:r>
              <w:rPr>
                <w:vertAlign w:val="superscript"/>
              </w:rPr>
              <w:t>2</w:t>
            </w:r>
          </w:p>
        </w:tc>
        <w:tc>
          <w:tcPr>
            <w:tcW w:w="379" w:type="pct"/>
            <w:shd w:val="clear" w:color="auto" w:fill="auto"/>
            <w:vAlign w:val="center"/>
          </w:tcPr>
          <w:p>
            <w:pPr>
              <w:pStyle w:val="23"/>
            </w:pPr>
            <w:r>
              <w:t>监测土壤流失情况</w:t>
            </w:r>
          </w:p>
        </w:tc>
        <w:tc>
          <w:tcPr>
            <w:tcW w:w="408" w:type="pct"/>
            <w:gridSpan w:val="2"/>
            <w:shd w:val="clear" w:color="auto" w:fill="auto"/>
            <w:vAlign w:val="center"/>
          </w:tcPr>
          <w:p>
            <w:pPr>
              <w:pStyle w:val="23"/>
            </w:pPr>
            <w:r>
              <w:rPr>
                <w:rFonts w:hint="eastAsia"/>
              </w:rPr>
              <w:t>建设期</w:t>
            </w:r>
          </w:p>
        </w:tc>
        <w:tc>
          <w:tcPr>
            <w:tcW w:w="610" w:type="pct"/>
            <w:gridSpan w:val="2"/>
            <w:shd w:val="clear" w:color="auto" w:fill="auto"/>
            <w:vAlign w:val="center"/>
          </w:tcPr>
          <w:p>
            <w:pPr>
              <w:pStyle w:val="23"/>
            </w:pPr>
            <w:r>
              <w:rPr>
                <w:rFonts w:hint="eastAsia"/>
              </w:rPr>
              <w:t>4</w:t>
            </w:r>
            <w:r>
              <w:rPr>
                <w:rFonts w:hint="eastAsia"/>
                <w:lang w:val="en-US" w:eastAsia="zh-CN"/>
              </w:rPr>
              <w:t>08</w:t>
            </w:r>
            <w:r>
              <w:t>t/km</w:t>
            </w:r>
            <w:r>
              <w:rPr>
                <w:vertAlign w:val="superscript"/>
              </w:rPr>
              <w:t>2</w:t>
            </w:r>
            <w:r>
              <w:t>•a</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15" w:type="pct"/>
            <w:gridSpan w:val="2"/>
            <w:vMerge w:val="continue"/>
            <w:shd w:val="clear" w:color="auto" w:fill="auto"/>
            <w:vAlign w:val="center"/>
          </w:tcPr>
          <w:p>
            <w:pPr>
              <w:pStyle w:val="23"/>
            </w:pPr>
          </w:p>
        </w:tc>
        <w:tc>
          <w:tcPr>
            <w:tcW w:w="272" w:type="pct"/>
            <w:vMerge w:val="continue"/>
            <w:shd w:val="clear" w:color="auto" w:fill="auto"/>
            <w:vAlign w:val="center"/>
          </w:tcPr>
          <w:p>
            <w:pPr>
              <w:pStyle w:val="23"/>
            </w:pPr>
          </w:p>
        </w:tc>
        <w:tc>
          <w:tcPr>
            <w:tcW w:w="593" w:type="pct"/>
            <w:gridSpan w:val="2"/>
            <w:shd w:val="clear" w:color="auto" w:fill="auto"/>
            <w:vAlign w:val="center"/>
          </w:tcPr>
          <w:p>
            <w:pPr>
              <w:pStyle w:val="23"/>
            </w:pPr>
            <w:r>
              <w:t>林草植被恢复率</w:t>
            </w:r>
          </w:p>
        </w:tc>
        <w:tc>
          <w:tcPr>
            <w:tcW w:w="441" w:type="pct"/>
            <w:shd w:val="clear" w:color="auto" w:fill="auto"/>
            <w:vAlign w:val="center"/>
          </w:tcPr>
          <w:p>
            <w:pPr>
              <w:pStyle w:val="23"/>
            </w:pPr>
            <w:r>
              <w:t>9</w:t>
            </w:r>
            <w:r>
              <w:rPr>
                <w:rFonts w:hint="eastAsia"/>
              </w:rPr>
              <w:t>9</w:t>
            </w:r>
            <w:r>
              <w:t>%</w:t>
            </w:r>
          </w:p>
        </w:tc>
        <w:tc>
          <w:tcPr>
            <w:tcW w:w="418" w:type="pct"/>
            <w:gridSpan w:val="2"/>
            <w:shd w:val="clear" w:color="auto" w:fill="auto"/>
            <w:vAlign w:val="center"/>
          </w:tcPr>
          <w:p>
            <w:pPr>
              <w:pStyle w:val="23"/>
            </w:pPr>
            <w:r>
              <w:rPr>
                <w:rFonts w:hint="eastAsia"/>
                <w:lang w:eastAsia="zh-CN"/>
              </w:rPr>
              <w:t>99.61</w:t>
            </w:r>
            <w:r>
              <w:rPr>
                <w:rFonts w:hint="eastAsia"/>
              </w:rPr>
              <w:t>%</w:t>
            </w:r>
          </w:p>
        </w:tc>
        <w:tc>
          <w:tcPr>
            <w:tcW w:w="832" w:type="pct"/>
            <w:gridSpan w:val="3"/>
            <w:shd w:val="clear" w:color="auto" w:fill="auto"/>
            <w:vAlign w:val="center"/>
          </w:tcPr>
          <w:p>
            <w:pPr>
              <w:pStyle w:val="23"/>
            </w:pPr>
            <w:r>
              <w:t>可恢复林草植被面积</w:t>
            </w:r>
          </w:p>
        </w:tc>
        <w:tc>
          <w:tcPr>
            <w:tcW w:w="527" w:type="pct"/>
            <w:gridSpan w:val="3"/>
            <w:shd w:val="clear" w:color="auto" w:fill="auto"/>
            <w:vAlign w:val="center"/>
          </w:tcPr>
          <w:p>
            <w:pPr>
              <w:pStyle w:val="23"/>
            </w:pPr>
            <w:r>
              <w:rPr>
                <w:rFonts w:hint="eastAsia"/>
                <w:lang w:eastAsia="zh-CN"/>
              </w:rPr>
              <w:t>0.310</w:t>
            </w:r>
            <w:r>
              <w:rPr>
                <w:rFonts w:hint="eastAsia"/>
              </w:rPr>
              <w:t xml:space="preserve"> </w:t>
            </w:r>
            <w:r>
              <w:t>hm</w:t>
            </w:r>
            <w:r>
              <w:rPr>
                <w:vertAlign w:val="superscript"/>
              </w:rPr>
              <w:t>2</w:t>
            </w:r>
          </w:p>
        </w:tc>
        <w:tc>
          <w:tcPr>
            <w:tcW w:w="787" w:type="pct"/>
            <w:gridSpan w:val="3"/>
            <w:shd w:val="clear" w:color="auto" w:fill="auto"/>
            <w:vAlign w:val="center"/>
          </w:tcPr>
          <w:p>
            <w:pPr>
              <w:pStyle w:val="23"/>
            </w:pPr>
            <w:r>
              <w:t>林草类植被面积</w:t>
            </w:r>
          </w:p>
        </w:tc>
        <w:tc>
          <w:tcPr>
            <w:tcW w:w="610" w:type="pct"/>
            <w:gridSpan w:val="2"/>
            <w:shd w:val="clear" w:color="auto" w:fill="auto"/>
            <w:vAlign w:val="center"/>
          </w:tcPr>
          <w:p>
            <w:pPr>
              <w:pStyle w:val="23"/>
            </w:pPr>
            <w:r>
              <w:rPr>
                <w:rFonts w:hint="eastAsia"/>
                <w:lang w:eastAsia="zh-CN"/>
              </w:rPr>
              <w:t>0.309</w:t>
            </w:r>
            <w:r>
              <w:rPr>
                <w:rFonts w:hint="eastAsia"/>
              </w:rPr>
              <w:t xml:space="preserve"> </w:t>
            </w:r>
            <w:r>
              <w:t>hm</w:t>
            </w:r>
            <w:r>
              <w:rPr>
                <w:vertAlign w:val="superscript"/>
              </w:rPr>
              <w:t>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15" w:type="pct"/>
            <w:gridSpan w:val="2"/>
            <w:vMerge w:val="continue"/>
            <w:shd w:val="clear" w:color="auto" w:fill="auto"/>
            <w:vAlign w:val="center"/>
          </w:tcPr>
          <w:p>
            <w:pPr>
              <w:pStyle w:val="23"/>
            </w:pPr>
          </w:p>
        </w:tc>
        <w:tc>
          <w:tcPr>
            <w:tcW w:w="272" w:type="pct"/>
            <w:vMerge w:val="continue"/>
            <w:shd w:val="clear" w:color="auto" w:fill="auto"/>
            <w:vAlign w:val="center"/>
          </w:tcPr>
          <w:p>
            <w:pPr>
              <w:pStyle w:val="23"/>
            </w:pPr>
          </w:p>
        </w:tc>
        <w:tc>
          <w:tcPr>
            <w:tcW w:w="593" w:type="pct"/>
            <w:gridSpan w:val="2"/>
            <w:shd w:val="clear" w:color="auto" w:fill="auto"/>
            <w:vAlign w:val="center"/>
          </w:tcPr>
          <w:p>
            <w:pPr>
              <w:pStyle w:val="23"/>
            </w:pPr>
            <w:r>
              <w:t>林草覆盖率</w:t>
            </w:r>
          </w:p>
        </w:tc>
        <w:tc>
          <w:tcPr>
            <w:tcW w:w="441" w:type="pct"/>
            <w:shd w:val="clear" w:color="auto" w:fill="auto"/>
            <w:vAlign w:val="center"/>
          </w:tcPr>
          <w:p>
            <w:pPr>
              <w:pStyle w:val="23"/>
            </w:pPr>
            <w:r>
              <w:rPr>
                <w:rFonts w:hint="eastAsia"/>
                <w:lang w:val="en-US" w:eastAsia="zh-CN"/>
              </w:rPr>
              <w:t>7</w:t>
            </w:r>
            <w:r>
              <w:t>%</w:t>
            </w:r>
          </w:p>
        </w:tc>
        <w:tc>
          <w:tcPr>
            <w:tcW w:w="418" w:type="pct"/>
            <w:gridSpan w:val="2"/>
            <w:shd w:val="clear" w:color="auto" w:fill="auto"/>
            <w:vAlign w:val="center"/>
          </w:tcPr>
          <w:p>
            <w:pPr>
              <w:pStyle w:val="23"/>
            </w:pPr>
            <w:r>
              <w:rPr>
                <w:rFonts w:hint="eastAsia"/>
                <w:lang w:eastAsia="zh-CN"/>
              </w:rPr>
              <w:t>7.0</w:t>
            </w:r>
            <w:r>
              <w:rPr>
                <w:rFonts w:hint="eastAsia"/>
              </w:rPr>
              <w:t>%</w:t>
            </w:r>
          </w:p>
        </w:tc>
        <w:tc>
          <w:tcPr>
            <w:tcW w:w="832" w:type="pct"/>
            <w:gridSpan w:val="3"/>
            <w:shd w:val="clear" w:color="auto" w:fill="auto"/>
            <w:vAlign w:val="center"/>
          </w:tcPr>
          <w:p>
            <w:pPr>
              <w:pStyle w:val="23"/>
            </w:pPr>
            <w:r>
              <w:t>实际拦渣</w:t>
            </w:r>
          </w:p>
          <w:p>
            <w:pPr>
              <w:pStyle w:val="23"/>
            </w:pPr>
            <w:r>
              <w:t>弃土量</w:t>
            </w:r>
          </w:p>
        </w:tc>
        <w:tc>
          <w:tcPr>
            <w:tcW w:w="527" w:type="pct"/>
            <w:gridSpan w:val="3"/>
            <w:shd w:val="clear" w:color="auto" w:fill="auto"/>
            <w:vAlign w:val="center"/>
          </w:tcPr>
          <w:p>
            <w:pPr>
              <w:pStyle w:val="23"/>
            </w:pPr>
            <w:r>
              <w:rPr>
                <w:rFonts w:hint="eastAsia"/>
                <w:lang w:eastAsia="zh-CN"/>
              </w:rPr>
              <w:t>12.87</w:t>
            </w:r>
            <w:r>
              <w:t>万m</w:t>
            </w:r>
            <w:r>
              <w:rPr>
                <w:vertAlign w:val="superscript"/>
              </w:rPr>
              <w:t>3</w:t>
            </w:r>
          </w:p>
        </w:tc>
        <w:tc>
          <w:tcPr>
            <w:tcW w:w="787" w:type="pct"/>
            <w:gridSpan w:val="3"/>
            <w:shd w:val="clear" w:color="auto" w:fill="auto"/>
            <w:vAlign w:val="center"/>
          </w:tcPr>
          <w:p>
            <w:pPr>
              <w:pStyle w:val="23"/>
            </w:pPr>
            <w:r>
              <w:t>总弃土量</w:t>
            </w:r>
          </w:p>
        </w:tc>
        <w:tc>
          <w:tcPr>
            <w:tcW w:w="610" w:type="pct"/>
            <w:gridSpan w:val="2"/>
            <w:shd w:val="clear" w:color="auto" w:fill="auto"/>
            <w:vAlign w:val="center"/>
          </w:tcPr>
          <w:p>
            <w:pPr>
              <w:pStyle w:val="23"/>
            </w:pPr>
            <w:r>
              <w:rPr>
                <w:rFonts w:hint="eastAsia"/>
                <w:lang w:eastAsia="zh-CN"/>
              </w:rPr>
              <w:t>12.89</w:t>
            </w:r>
            <w:r>
              <w:t>万m</w:t>
            </w:r>
            <w:r>
              <w:rPr>
                <w:vertAlign w:val="superscript"/>
              </w:rPr>
              <w:t>3</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15" w:type="pct"/>
            <w:gridSpan w:val="2"/>
            <w:vMerge w:val="continue"/>
            <w:shd w:val="clear" w:color="auto" w:fill="auto"/>
            <w:vAlign w:val="center"/>
          </w:tcPr>
          <w:p>
            <w:pPr>
              <w:pStyle w:val="23"/>
            </w:pPr>
          </w:p>
        </w:tc>
        <w:tc>
          <w:tcPr>
            <w:tcW w:w="866" w:type="pct"/>
            <w:gridSpan w:val="3"/>
            <w:shd w:val="clear" w:color="auto" w:fill="auto"/>
            <w:vAlign w:val="center"/>
          </w:tcPr>
          <w:p>
            <w:pPr>
              <w:pStyle w:val="23"/>
            </w:pPr>
            <w:r>
              <w:t>水土保持治理</w:t>
            </w:r>
          </w:p>
          <w:p>
            <w:pPr>
              <w:pStyle w:val="23"/>
            </w:pPr>
            <w:r>
              <w:t>达标评价</w:t>
            </w:r>
          </w:p>
        </w:tc>
        <w:tc>
          <w:tcPr>
            <w:tcW w:w="3617" w:type="pct"/>
            <w:gridSpan w:val="14"/>
            <w:shd w:val="clear" w:color="auto" w:fill="auto"/>
            <w:vAlign w:val="center"/>
          </w:tcPr>
          <w:p>
            <w:pPr>
              <w:pStyle w:val="23"/>
            </w:pPr>
            <w:r>
              <w:t>六项均指标达到了《开发建设项目水土流失防治标准》(GB 50434-2008) 建设类项目</w:t>
            </w:r>
            <w:r>
              <w:rPr>
                <w:rFonts w:hint="eastAsia"/>
              </w:rPr>
              <w:t>一</w:t>
            </w:r>
            <w:r>
              <w:t>级标准要求，水土保持效果显著</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15" w:type="pct"/>
            <w:gridSpan w:val="2"/>
            <w:vMerge w:val="continue"/>
            <w:shd w:val="clear" w:color="auto" w:fill="auto"/>
            <w:vAlign w:val="center"/>
          </w:tcPr>
          <w:p>
            <w:pPr>
              <w:pStyle w:val="23"/>
            </w:pPr>
          </w:p>
        </w:tc>
        <w:tc>
          <w:tcPr>
            <w:tcW w:w="866" w:type="pct"/>
            <w:gridSpan w:val="3"/>
            <w:shd w:val="clear" w:color="auto" w:fill="auto"/>
            <w:vAlign w:val="center"/>
          </w:tcPr>
          <w:p>
            <w:pPr>
              <w:pStyle w:val="23"/>
            </w:pPr>
            <w:r>
              <w:t>总体结论</w:t>
            </w:r>
          </w:p>
        </w:tc>
        <w:tc>
          <w:tcPr>
            <w:tcW w:w="3617" w:type="pct"/>
            <w:gridSpan w:val="14"/>
            <w:shd w:val="clear" w:color="auto" w:fill="auto"/>
            <w:vAlign w:val="center"/>
          </w:tcPr>
          <w:p>
            <w:pPr>
              <w:pStyle w:val="23"/>
            </w:pPr>
            <w:r>
              <w:t>建设单位对水土流失防治责任范围内的水土流失进行了较全面、系统的整治，完成了水土保持方案确定的各项防治任务</w:t>
            </w:r>
            <w:r>
              <w:rPr>
                <w:rFonts w:hint="eastAsia"/>
              </w:rPr>
              <w:t>。</w:t>
            </w:r>
            <w:r>
              <w:t>施工过程中的水土流失得到了有效控制，工程区的平均水土流失强度下降到微度。经过系统整治，工程区的生态环境将有明显改善，总体上发挥了较好的保水保土、改善生态环境的作用</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382" w:type="pct"/>
            <w:gridSpan w:val="5"/>
            <w:shd w:val="clear" w:color="auto" w:fill="auto"/>
            <w:vAlign w:val="center"/>
          </w:tcPr>
          <w:p>
            <w:pPr>
              <w:pStyle w:val="23"/>
            </w:pPr>
            <w:r>
              <w:t>主要建议</w:t>
            </w:r>
          </w:p>
        </w:tc>
        <w:tc>
          <w:tcPr>
            <w:tcW w:w="3617" w:type="pct"/>
            <w:gridSpan w:val="14"/>
            <w:shd w:val="clear" w:color="auto" w:fill="auto"/>
            <w:vAlign w:val="center"/>
          </w:tcPr>
          <w:p>
            <w:pPr>
              <w:pStyle w:val="23"/>
              <w:rPr>
                <w:lang w:val="zh-CN"/>
              </w:rPr>
            </w:pPr>
            <w:r>
              <w:t>加强</w:t>
            </w:r>
            <w:r>
              <w:rPr>
                <w:rFonts w:hint="eastAsia"/>
              </w:rPr>
              <w:t>对水土保持措施</w:t>
            </w:r>
            <w:r>
              <w:t>管护</w:t>
            </w:r>
          </w:p>
        </w:tc>
      </w:tr>
    </w:tbl>
    <w:p>
      <w:pPr>
        <w:pStyle w:val="25"/>
        <w:ind w:firstLine="720"/>
        <w:rPr>
          <w:rFonts w:cs="Times New Roman"/>
        </w:rPr>
      </w:pPr>
    </w:p>
    <w:p>
      <w:pPr>
        <w:pStyle w:val="25"/>
        <w:ind w:firstLine="640"/>
        <w:rPr>
          <w:rFonts w:cs="Times New Roman"/>
          <w:sz w:val="32"/>
          <w:szCs w:val="32"/>
        </w:rPr>
        <w:sectPr>
          <w:headerReference r:id="rId5" w:type="first"/>
          <w:footerReference r:id="rId8" w:type="first"/>
          <w:headerReference r:id="rId3" w:type="default"/>
          <w:footerReference r:id="rId6" w:type="default"/>
          <w:headerReference r:id="rId4" w:type="even"/>
          <w:footerReference r:id="rId7" w:type="even"/>
          <w:pgSz w:w="11906" w:h="16838"/>
          <w:pgMar w:top="1418" w:right="1418" w:bottom="1418" w:left="1418" w:header="851" w:footer="992" w:gutter="0"/>
          <w:pgBorders>
            <w:top w:val="none" w:sz="0" w:space="0"/>
            <w:left w:val="none" w:sz="0" w:space="0"/>
            <w:bottom w:val="none" w:sz="0" w:space="0"/>
            <w:right w:val="none" w:sz="0" w:space="0"/>
          </w:pgBorders>
          <w:pgNumType w:start="1"/>
          <w:cols w:space="425" w:num="1"/>
          <w:docGrid w:type="lines" w:linePitch="312" w:charSpace="0"/>
        </w:sectPr>
      </w:pPr>
    </w:p>
    <w:p>
      <w:pPr>
        <w:pStyle w:val="25"/>
        <w:spacing w:before="0"/>
        <w:ind w:firstLine="0" w:firstLineChars="0"/>
        <w:rPr>
          <w:rFonts w:cs="Times New Roman"/>
          <w:sz w:val="32"/>
          <w:szCs w:val="32"/>
        </w:rPr>
      </w:pPr>
      <w:r>
        <w:rPr>
          <w:rFonts w:cs="Times New Roman"/>
          <w:sz w:val="32"/>
          <w:szCs w:val="32"/>
        </w:rPr>
        <w:t>目  录</w:t>
      </w:r>
    </w:p>
    <w:p>
      <w:pPr>
        <w:pStyle w:val="11"/>
        <w:tabs>
          <w:tab w:val="right" w:leader="dot" w:pos="9070"/>
        </w:tabs>
        <w:spacing w:line="360" w:lineRule="auto"/>
        <w:ind w:firstLine="0" w:firstLineChars="0"/>
        <w:rPr>
          <w:rFonts w:eastAsia="仿宋_GB2312" w:cs="Times New Roman"/>
        </w:rPr>
      </w:pPr>
      <w:r>
        <w:rPr>
          <w:rFonts w:eastAsia="仿宋" w:cs="Times New Roman"/>
        </w:rPr>
        <w:fldChar w:fldCharType="begin"/>
      </w:r>
      <w:r>
        <w:rPr>
          <w:rFonts w:eastAsia="仿宋" w:cs="Times New Roman"/>
        </w:rPr>
        <w:instrText xml:space="preserve"> TOC \o "1-2" \h \z \u </w:instrText>
      </w:r>
      <w:r>
        <w:rPr>
          <w:rFonts w:eastAsia="仿宋" w:cs="Times New Roman"/>
        </w:rPr>
        <w:fldChar w:fldCharType="separate"/>
      </w:r>
      <w:r>
        <w:fldChar w:fldCharType="begin"/>
      </w:r>
      <w:r>
        <w:instrText xml:space="preserve"> HYPERLINK \l "_Toc24441" </w:instrText>
      </w:r>
      <w:r>
        <w:fldChar w:fldCharType="separate"/>
      </w:r>
      <w:r>
        <w:rPr>
          <w:rFonts w:eastAsia="仿宋_GB2312" w:cs="Times New Roman"/>
          <w:szCs w:val="32"/>
        </w:rPr>
        <w:t>前   言</w:t>
      </w:r>
      <w:r>
        <w:rPr>
          <w:rFonts w:eastAsia="仿宋_GB2312" w:cs="Times New Roman"/>
        </w:rPr>
        <w:tab/>
      </w:r>
      <w:r>
        <w:rPr>
          <w:rFonts w:eastAsia="仿宋_GB2312" w:cs="Times New Roman"/>
        </w:rPr>
        <w:fldChar w:fldCharType="begin"/>
      </w:r>
      <w:r>
        <w:rPr>
          <w:rFonts w:eastAsia="仿宋_GB2312" w:cs="Times New Roman"/>
        </w:rPr>
        <w:instrText xml:space="preserve"> PAGEREF _Toc24441 </w:instrText>
      </w:r>
      <w:r>
        <w:rPr>
          <w:rFonts w:eastAsia="仿宋_GB2312" w:cs="Times New Roman"/>
        </w:rPr>
        <w:fldChar w:fldCharType="separate"/>
      </w:r>
      <w:r>
        <w:rPr>
          <w:rFonts w:eastAsia="仿宋_GB2312" w:cs="Times New Roman"/>
        </w:rPr>
        <w:t>1</w:t>
      </w:r>
      <w:r>
        <w:rPr>
          <w:rFonts w:eastAsia="仿宋_GB2312" w:cs="Times New Roman"/>
        </w:rPr>
        <w:fldChar w:fldCharType="end"/>
      </w:r>
      <w:r>
        <w:rPr>
          <w:rFonts w:eastAsia="仿宋_GB2312" w:cs="Times New Roman"/>
        </w:rPr>
        <w:fldChar w:fldCharType="end"/>
      </w:r>
    </w:p>
    <w:p>
      <w:pPr>
        <w:pStyle w:val="11"/>
        <w:tabs>
          <w:tab w:val="right" w:leader="dot" w:pos="9070"/>
        </w:tabs>
        <w:spacing w:line="360" w:lineRule="auto"/>
        <w:ind w:firstLine="0" w:firstLineChars="0"/>
        <w:rPr>
          <w:rFonts w:eastAsia="仿宋_GB2312" w:cs="Times New Roman"/>
        </w:rPr>
      </w:pPr>
      <w:r>
        <w:fldChar w:fldCharType="begin"/>
      </w:r>
      <w:r>
        <w:instrText xml:space="preserve"> HYPERLINK \l "_Toc16365" </w:instrText>
      </w:r>
      <w:r>
        <w:fldChar w:fldCharType="separate"/>
      </w:r>
      <w:r>
        <w:rPr>
          <w:rFonts w:eastAsia="仿宋_GB2312" w:cs="Times New Roman"/>
        </w:rPr>
        <w:t>1 建设项目及水土保持工作概况</w:t>
      </w:r>
      <w:r>
        <w:rPr>
          <w:rFonts w:eastAsia="仿宋_GB2312" w:cs="Times New Roman"/>
        </w:rPr>
        <w:tab/>
      </w:r>
      <w:r>
        <w:rPr>
          <w:rFonts w:eastAsia="仿宋_GB2312" w:cs="Times New Roman"/>
        </w:rPr>
        <w:fldChar w:fldCharType="begin"/>
      </w:r>
      <w:r>
        <w:rPr>
          <w:rFonts w:eastAsia="仿宋_GB2312" w:cs="Times New Roman"/>
        </w:rPr>
        <w:instrText xml:space="preserve"> PAGEREF _Toc16365 </w:instrText>
      </w:r>
      <w:r>
        <w:rPr>
          <w:rFonts w:eastAsia="仿宋_GB2312" w:cs="Times New Roman"/>
        </w:rPr>
        <w:fldChar w:fldCharType="separate"/>
      </w:r>
      <w:r>
        <w:rPr>
          <w:rFonts w:eastAsia="仿宋_GB2312" w:cs="Times New Roman"/>
        </w:rPr>
        <w:t>5</w:t>
      </w:r>
      <w:r>
        <w:rPr>
          <w:rFonts w:eastAsia="仿宋_GB2312" w:cs="Times New Roman"/>
        </w:rPr>
        <w:fldChar w:fldCharType="end"/>
      </w:r>
      <w:r>
        <w:rPr>
          <w:rFonts w:eastAsia="仿宋_GB2312" w:cs="Times New Roman"/>
        </w:rPr>
        <w:fldChar w:fldCharType="end"/>
      </w:r>
    </w:p>
    <w:p>
      <w:pPr>
        <w:pStyle w:val="12"/>
        <w:tabs>
          <w:tab w:val="right" w:leader="dot" w:pos="9070"/>
        </w:tabs>
        <w:spacing w:before="0" w:line="360" w:lineRule="auto"/>
        <w:ind w:firstLine="0" w:firstLineChars="0"/>
        <w:rPr>
          <w:rFonts w:eastAsia="仿宋_GB2312" w:cs="Times New Roman"/>
        </w:rPr>
      </w:pPr>
      <w:r>
        <w:fldChar w:fldCharType="begin"/>
      </w:r>
      <w:r>
        <w:instrText xml:space="preserve"> HYPERLINK \l "_Toc27923" </w:instrText>
      </w:r>
      <w:r>
        <w:fldChar w:fldCharType="separate"/>
      </w:r>
      <w:r>
        <w:rPr>
          <w:rFonts w:eastAsia="仿宋_GB2312" w:cs="Times New Roman"/>
        </w:rPr>
        <w:t>1.1 建设项目概况</w:t>
      </w:r>
      <w:r>
        <w:rPr>
          <w:rFonts w:eastAsia="仿宋_GB2312" w:cs="Times New Roman"/>
        </w:rPr>
        <w:tab/>
      </w:r>
      <w:r>
        <w:rPr>
          <w:rFonts w:eastAsia="仿宋_GB2312" w:cs="Times New Roman"/>
        </w:rPr>
        <w:fldChar w:fldCharType="begin"/>
      </w:r>
      <w:r>
        <w:rPr>
          <w:rFonts w:eastAsia="仿宋_GB2312" w:cs="Times New Roman"/>
        </w:rPr>
        <w:instrText xml:space="preserve"> PAGEREF _Toc27923 </w:instrText>
      </w:r>
      <w:r>
        <w:rPr>
          <w:rFonts w:eastAsia="仿宋_GB2312" w:cs="Times New Roman"/>
        </w:rPr>
        <w:fldChar w:fldCharType="separate"/>
      </w:r>
      <w:r>
        <w:rPr>
          <w:rFonts w:eastAsia="仿宋_GB2312" w:cs="Times New Roman"/>
        </w:rPr>
        <w:t>5</w:t>
      </w:r>
      <w:r>
        <w:rPr>
          <w:rFonts w:eastAsia="仿宋_GB2312" w:cs="Times New Roman"/>
        </w:rPr>
        <w:fldChar w:fldCharType="end"/>
      </w:r>
      <w:r>
        <w:rPr>
          <w:rFonts w:eastAsia="仿宋_GB2312" w:cs="Times New Roman"/>
        </w:rPr>
        <w:fldChar w:fldCharType="end"/>
      </w:r>
    </w:p>
    <w:p>
      <w:pPr>
        <w:pStyle w:val="12"/>
        <w:tabs>
          <w:tab w:val="right" w:leader="dot" w:pos="9070"/>
        </w:tabs>
        <w:spacing w:before="0" w:line="360" w:lineRule="auto"/>
        <w:ind w:firstLine="0" w:firstLineChars="0"/>
        <w:rPr>
          <w:rFonts w:eastAsia="仿宋_GB2312" w:cs="Times New Roman"/>
        </w:rPr>
      </w:pPr>
      <w:r>
        <w:fldChar w:fldCharType="begin"/>
      </w:r>
      <w:r>
        <w:instrText xml:space="preserve"> HYPERLINK \l "_Toc16588" </w:instrText>
      </w:r>
      <w:r>
        <w:fldChar w:fldCharType="separate"/>
      </w:r>
      <w:r>
        <w:rPr>
          <w:rFonts w:eastAsia="仿宋_GB2312" w:cs="Times New Roman"/>
        </w:rPr>
        <w:t>1.2 水土保持工作情况</w:t>
      </w:r>
      <w:r>
        <w:rPr>
          <w:rFonts w:eastAsia="仿宋_GB2312" w:cs="Times New Roman"/>
        </w:rPr>
        <w:tab/>
      </w:r>
      <w:r>
        <w:rPr>
          <w:rFonts w:eastAsia="仿宋_GB2312" w:cs="Times New Roman"/>
        </w:rPr>
        <w:fldChar w:fldCharType="begin"/>
      </w:r>
      <w:r>
        <w:rPr>
          <w:rFonts w:eastAsia="仿宋_GB2312" w:cs="Times New Roman"/>
        </w:rPr>
        <w:instrText xml:space="preserve"> PAGEREF _Toc16588 </w:instrText>
      </w:r>
      <w:r>
        <w:rPr>
          <w:rFonts w:eastAsia="仿宋_GB2312" w:cs="Times New Roman"/>
        </w:rPr>
        <w:fldChar w:fldCharType="separate"/>
      </w:r>
      <w:r>
        <w:rPr>
          <w:rFonts w:eastAsia="仿宋_GB2312" w:cs="Times New Roman"/>
        </w:rPr>
        <w:t>13</w:t>
      </w:r>
      <w:r>
        <w:rPr>
          <w:rFonts w:eastAsia="仿宋_GB2312" w:cs="Times New Roman"/>
        </w:rPr>
        <w:fldChar w:fldCharType="end"/>
      </w:r>
      <w:r>
        <w:rPr>
          <w:rFonts w:eastAsia="仿宋_GB2312" w:cs="Times New Roman"/>
        </w:rPr>
        <w:fldChar w:fldCharType="end"/>
      </w:r>
    </w:p>
    <w:p>
      <w:pPr>
        <w:pStyle w:val="12"/>
        <w:tabs>
          <w:tab w:val="right" w:leader="dot" w:pos="9070"/>
        </w:tabs>
        <w:spacing w:before="0" w:line="360" w:lineRule="auto"/>
        <w:ind w:firstLine="0" w:firstLineChars="0"/>
        <w:rPr>
          <w:rFonts w:eastAsia="仿宋_GB2312" w:cs="Times New Roman"/>
        </w:rPr>
      </w:pPr>
      <w:r>
        <w:fldChar w:fldCharType="begin"/>
      </w:r>
      <w:r>
        <w:instrText xml:space="preserve"> HYPERLINK \l "_Toc8212" </w:instrText>
      </w:r>
      <w:r>
        <w:fldChar w:fldCharType="separate"/>
      </w:r>
      <w:r>
        <w:rPr>
          <w:rFonts w:eastAsia="仿宋_GB2312" w:cs="Times New Roman"/>
        </w:rPr>
        <w:t>1.3 监测工作实施情况</w:t>
      </w:r>
      <w:r>
        <w:rPr>
          <w:rFonts w:eastAsia="仿宋_GB2312" w:cs="Times New Roman"/>
        </w:rPr>
        <w:tab/>
      </w:r>
      <w:r>
        <w:rPr>
          <w:rFonts w:eastAsia="仿宋_GB2312" w:cs="Times New Roman"/>
        </w:rPr>
        <w:fldChar w:fldCharType="begin"/>
      </w:r>
      <w:r>
        <w:rPr>
          <w:rFonts w:eastAsia="仿宋_GB2312" w:cs="Times New Roman"/>
        </w:rPr>
        <w:instrText xml:space="preserve"> PAGEREF _Toc8212 </w:instrText>
      </w:r>
      <w:r>
        <w:rPr>
          <w:rFonts w:eastAsia="仿宋_GB2312" w:cs="Times New Roman"/>
        </w:rPr>
        <w:fldChar w:fldCharType="separate"/>
      </w:r>
      <w:r>
        <w:rPr>
          <w:rFonts w:eastAsia="仿宋_GB2312" w:cs="Times New Roman"/>
        </w:rPr>
        <w:t>14</w:t>
      </w:r>
      <w:r>
        <w:rPr>
          <w:rFonts w:eastAsia="仿宋_GB2312" w:cs="Times New Roman"/>
        </w:rPr>
        <w:fldChar w:fldCharType="end"/>
      </w:r>
      <w:r>
        <w:rPr>
          <w:rFonts w:eastAsia="仿宋_GB2312" w:cs="Times New Roman"/>
        </w:rPr>
        <w:fldChar w:fldCharType="end"/>
      </w:r>
    </w:p>
    <w:p>
      <w:pPr>
        <w:pStyle w:val="11"/>
        <w:tabs>
          <w:tab w:val="right" w:leader="dot" w:pos="9070"/>
        </w:tabs>
        <w:spacing w:line="360" w:lineRule="auto"/>
        <w:ind w:firstLine="0" w:firstLineChars="0"/>
        <w:rPr>
          <w:rFonts w:eastAsia="仿宋_GB2312" w:cs="Times New Roman"/>
        </w:rPr>
      </w:pPr>
      <w:r>
        <w:fldChar w:fldCharType="begin"/>
      </w:r>
      <w:r>
        <w:instrText xml:space="preserve"> HYPERLINK \l "_Toc28440" </w:instrText>
      </w:r>
      <w:r>
        <w:fldChar w:fldCharType="separate"/>
      </w:r>
      <w:r>
        <w:rPr>
          <w:rFonts w:eastAsia="仿宋_GB2312" w:cs="Times New Roman"/>
        </w:rPr>
        <w:t>2 监测内容与方法</w:t>
      </w:r>
      <w:r>
        <w:rPr>
          <w:rFonts w:eastAsia="仿宋_GB2312" w:cs="Times New Roman"/>
        </w:rPr>
        <w:tab/>
      </w:r>
      <w:r>
        <w:rPr>
          <w:rFonts w:eastAsia="仿宋_GB2312" w:cs="Times New Roman"/>
        </w:rPr>
        <w:fldChar w:fldCharType="begin"/>
      </w:r>
      <w:r>
        <w:rPr>
          <w:rFonts w:eastAsia="仿宋_GB2312" w:cs="Times New Roman"/>
        </w:rPr>
        <w:instrText xml:space="preserve"> PAGEREF _Toc28440 </w:instrText>
      </w:r>
      <w:r>
        <w:rPr>
          <w:rFonts w:eastAsia="仿宋_GB2312" w:cs="Times New Roman"/>
        </w:rPr>
        <w:fldChar w:fldCharType="separate"/>
      </w:r>
      <w:r>
        <w:rPr>
          <w:rFonts w:eastAsia="仿宋_GB2312" w:cs="Times New Roman"/>
        </w:rPr>
        <w:t>19</w:t>
      </w:r>
      <w:r>
        <w:rPr>
          <w:rFonts w:eastAsia="仿宋_GB2312" w:cs="Times New Roman"/>
        </w:rPr>
        <w:fldChar w:fldCharType="end"/>
      </w:r>
      <w:r>
        <w:rPr>
          <w:rFonts w:eastAsia="仿宋_GB2312" w:cs="Times New Roman"/>
        </w:rPr>
        <w:fldChar w:fldCharType="end"/>
      </w:r>
    </w:p>
    <w:p>
      <w:pPr>
        <w:pStyle w:val="12"/>
        <w:tabs>
          <w:tab w:val="right" w:leader="dot" w:pos="9070"/>
        </w:tabs>
        <w:spacing w:before="0" w:line="360" w:lineRule="auto"/>
        <w:ind w:firstLine="0" w:firstLineChars="0"/>
        <w:rPr>
          <w:rFonts w:eastAsia="仿宋_GB2312" w:cs="Times New Roman"/>
        </w:rPr>
      </w:pPr>
      <w:r>
        <w:fldChar w:fldCharType="begin"/>
      </w:r>
      <w:r>
        <w:instrText xml:space="preserve"> HYPERLINK \l "_Toc1767" </w:instrText>
      </w:r>
      <w:r>
        <w:fldChar w:fldCharType="separate"/>
      </w:r>
      <w:r>
        <w:rPr>
          <w:rFonts w:eastAsia="仿宋_GB2312" w:cs="Times New Roman"/>
        </w:rPr>
        <w:t>2.1 扰动土地情况</w:t>
      </w:r>
      <w:r>
        <w:rPr>
          <w:rFonts w:eastAsia="仿宋_GB2312" w:cs="Times New Roman"/>
        </w:rPr>
        <w:tab/>
      </w:r>
      <w:r>
        <w:rPr>
          <w:rFonts w:eastAsia="仿宋_GB2312" w:cs="Times New Roman"/>
        </w:rPr>
        <w:fldChar w:fldCharType="begin"/>
      </w:r>
      <w:r>
        <w:rPr>
          <w:rFonts w:eastAsia="仿宋_GB2312" w:cs="Times New Roman"/>
        </w:rPr>
        <w:instrText xml:space="preserve"> PAGEREF _Toc1767 </w:instrText>
      </w:r>
      <w:r>
        <w:rPr>
          <w:rFonts w:eastAsia="仿宋_GB2312" w:cs="Times New Roman"/>
        </w:rPr>
        <w:fldChar w:fldCharType="separate"/>
      </w:r>
      <w:r>
        <w:rPr>
          <w:rFonts w:eastAsia="仿宋_GB2312" w:cs="Times New Roman"/>
        </w:rPr>
        <w:t>20</w:t>
      </w:r>
      <w:r>
        <w:rPr>
          <w:rFonts w:eastAsia="仿宋_GB2312" w:cs="Times New Roman"/>
        </w:rPr>
        <w:fldChar w:fldCharType="end"/>
      </w:r>
      <w:r>
        <w:rPr>
          <w:rFonts w:eastAsia="仿宋_GB2312" w:cs="Times New Roman"/>
        </w:rPr>
        <w:fldChar w:fldCharType="end"/>
      </w:r>
    </w:p>
    <w:p>
      <w:pPr>
        <w:pStyle w:val="12"/>
        <w:tabs>
          <w:tab w:val="right" w:leader="dot" w:pos="9070"/>
        </w:tabs>
        <w:spacing w:before="0" w:line="360" w:lineRule="auto"/>
        <w:ind w:firstLine="0" w:firstLineChars="0"/>
        <w:rPr>
          <w:rFonts w:eastAsia="仿宋_GB2312" w:cs="Times New Roman"/>
        </w:rPr>
      </w:pPr>
      <w:r>
        <w:fldChar w:fldCharType="begin"/>
      </w:r>
      <w:r>
        <w:instrText xml:space="preserve"> HYPERLINK \l "_Toc3735" </w:instrText>
      </w:r>
      <w:r>
        <w:fldChar w:fldCharType="separate"/>
      </w:r>
      <w:r>
        <w:rPr>
          <w:rFonts w:eastAsia="仿宋_GB2312" w:cs="Times New Roman"/>
        </w:rPr>
        <w:t>2.2 取料（土、石）、弃渣（土、石、矸石、尾矿等）</w:t>
      </w:r>
      <w:r>
        <w:rPr>
          <w:rFonts w:eastAsia="仿宋_GB2312" w:cs="Times New Roman"/>
        </w:rPr>
        <w:tab/>
      </w:r>
      <w:r>
        <w:rPr>
          <w:rFonts w:eastAsia="仿宋_GB2312" w:cs="Times New Roman"/>
        </w:rPr>
        <w:fldChar w:fldCharType="begin"/>
      </w:r>
      <w:r>
        <w:rPr>
          <w:rFonts w:eastAsia="仿宋_GB2312" w:cs="Times New Roman"/>
        </w:rPr>
        <w:instrText xml:space="preserve"> PAGEREF _Toc3735 </w:instrText>
      </w:r>
      <w:r>
        <w:rPr>
          <w:rFonts w:eastAsia="仿宋_GB2312" w:cs="Times New Roman"/>
        </w:rPr>
        <w:fldChar w:fldCharType="separate"/>
      </w:r>
      <w:r>
        <w:rPr>
          <w:rFonts w:eastAsia="仿宋_GB2312" w:cs="Times New Roman"/>
        </w:rPr>
        <w:t>20</w:t>
      </w:r>
      <w:r>
        <w:rPr>
          <w:rFonts w:eastAsia="仿宋_GB2312" w:cs="Times New Roman"/>
        </w:rPr>
        <w:fldChar w:fldCharType="end"/>
      </w:r>
      <w:r>
        <w:rPr>
          <w:rFonts w:eastAsia="仿宋_GB2312" w:cs="Times New Roman"/>
        </w:rPr>
        <w:fldChar w:fldCharType="end"/>
      </w:r>
    </w:p>
    <w:p>
      <w:pPr>
        <w:pStyle w:val="12"/>
        <w:tabs>
          <w:tab w:val="right" w:leader="dot" w:pos="9070"/>
        </w:tabs>
        <w:spacing w:before="0" w:line="360" w:lineRule="auto"/>
        <w:ind w:firstLine="0" w:firstLineChars="0"/>
        <w:rPr>
          <w:rFonts w:eastAsia="仿宋_GB2312" w:cs="Times New Roman"/>
        </w:rPr>
      </w:pPr>
      <w:r>
        <w:fldChar w:fldCharType="begin"/>
      </w:r>
      <w:r>
        <w:instrText xml:space="preserve"> HYPERLINK \l "_Toc12575" </w:instrText>
      </w:r>
      <w:r>
        <w:fldChar w:fldCharType="separate"/>
      </w:r>
      <w:r>
        <w:rPr>
          <w:rFonts w:eastAsia="仿宋_GB2312" w:cs="Times New Roman"/>
        </w:rPr>
        <w:t>2.3 水土保持措施</w:t>
      </w:r>
      <w:r>
        <w:rPr>
          <w:rFonts w:eastAsia="仿宋_GB2312" w:cs="Times New Roman"/>
        </w:rPr>
        <w:tab/>
      </w:r>
      <w:r>
        <w:rPr>
          <w:rFonts w:eastAsia="仿宋_GB2312" w:cs="Times New Roman"/>
        </w:rPr>
        <w:fldChar w:fldCharType="begin"/>
      </w:r>
      <w:r>
        <w:rPr>
          <w:rFonts w:eastAsia="仿宋_GB2312" w:cs="Times New Roman"/>
        </w:rPr>
        <w:instrText xml:space="preserve"> PAGEREF _Toc12575 </w:instrText>
      </w:r>
      <w:r>
        <w:rPr>
          <w:rFonts w:eastAsia="仿宋_GB2312" w:cs="Times New Roman"/>
        </w:rPr>
        <w:fldChar w:fldCharType="separate"/>
      </w:r>
      <w:r>
        <w:rPr>
          <w:rFonts w:eastAsia="仿宋_GB2312" w:cs="Times New Roman"/>
        </w:rPr>
        <w:t>20</w:t>
      </w:r>
      <w:r>
        <w:rPr>
          <w:rFonts w:eastAsia="仿宋_GB2312" w:cs="Times New Roman"/>
        </w:rPr>
        <w:fldChar w:fldCharType="end"/>
      </w:r>
      <w:r>
        <w:rPr>
          <w:rFonts w:eastAsia="仿宋_GB2312" w:cs="Times New Roman"/>
        </w:rPr>
        <w:fldChar w:fldCharType="end"/>
      </w:r>
    </w:p>
    <w:p>
      <w:pPr>
        <w:pStyle w:val="12"/>
        <w:tabs>
          <w:tab w:val="right" w:leader="dot" w:pos="9070"/>
        </w:tabs>
        <w:spacing w:before="0" w:line="360" w:lineRule="auto"/>
        <w:ind w:firstLine="0" w:firstLineChars="0"/>
        <w:rPr>
          <w:rFonts w:eastAsia="仿宋_GB2312" w:cs="Times New Roman"/>
        </w:rPr>
      </w:pPr>
      <w:r>
        <w:fldChar w:fldCharType="begin"/>
      </w:r>
      <w:r>
        <w:instrText xml:space="preserve"> HYPERLINK \l "_Toc26606" </w:instrText>
      </w:r>
      <w:r>
        <w:fldChar w:fldCharType="separate"/>
      </w:r>
      <w:r>
        <w:rPr>
          <w:rFonts w:eastAsia="仿宋_GB2312" w:cs="Times New Roman"/>
        </w:rPr>
        <w:t>2.4 水土流失情况</w:t>
      </w:r>
      <w:r>
        <w:rPr>
          <w:rFonts w:eastAsia="仿宋_GB2312" w:cs="Times New Roman"/>
        </w:rPr>
        <w:tab/>
      </w:r>
      <w:r>
        <w:rPr>
          <w:rFonts w:eastAsia="仿宋_GB2312" w:cs="Times New Roman"/>
        </w:rPr>
        <w:fldChar w:fldCharType="begin"/>
      </w:r>
      <w:r>
        <w:rPr>
          <w:rFonts w:eastAsia="仿宋_GB2312" w:cs="Times New Roman"/>
        </w:rPr>
        <w:instrText xml:space="preserve"> PAGEREF _Toc26606 </w:instrText>
      </w:r>
      <w:r>
        <w:rPr>
          <w:rFonts w:eastAsia="仿宋_GB2312" w:cs="Times New Roman"/>
        </w:rPr>
        <w:fldChar w:fldCharType="separate"/>
      </w:r>
      <w:r>
        <w:rPr>
          <w:rFonts w:eastAsia="仿宋_GB2312" w:cs="Times New Roman"/>
        </w:rPr>
        <w:t>21</w:t>
      </w:r>
      <w:r>
        <w:rPr>
          <w:rFonts w:eastAsia="仿宋_GB2312" w:cs="Times New Roman"/>
        </w:rPr>
        <w:fldChar w:fldCharType="end"/>
      </w:r>
      <w:r>
        <w:rPr>
          <w:rFonts w:eastAsia="仿宋_GB2312" w:cs="Times New Roman"/>
        </w:rPr>
        <w:fldChar w:fldCharType="end"/>
      </w:r>
    </w:p>
    <w:p>
      <w:pPr>
        <w:pStyle w:val="11"/>
        <w:tabs>
          <w:tab w:val="right" w:leader="dot" w:pos="9070"/>
        </w:tabs>
        <w:spacing w:line="360" w:lineRule="auto"/>
        <w:ind w:firstLine="0" w:firstLineChars="0"/>
        <w:rPr>
          <w:rFonts w:eastAsia="仿宋_GB2312" w:cs="Times New Roman"/>
        </w:rPr>
      </w:pPr>
      <w:r>
        <w:fldChar w:fldCharType="begin"/>
      </w:r>
      <w:r>
        <w:instrText xml:space="preserve"> HYPERLINK \l "_Toc18114" </w:instrText>
      </w:r>
      <w:r>
        <w:fldChar w:fldCharType="separate"/>
      </w:r>
      <w:r>
        <w:rPr>
          <w:rFonts w:eastAsia="仿宋_GB2312" w:cs="Times New Roman"/>
        </w:rPr>
        <w:t>3 重点对象水土流失动态监测</w:t>
      </w:r>
      <w:r>
        <w:rPr>
          <w:rFonts w:eastAsia="仿宋_GB2312" w:cs="Times New Roman"/>
        </w:rPr>
        <w:tab/>
      </w:r>
      <w:r>
        <w:rPr>
          <w:rFonts w:eastAsia="仿宋_GB2312" w:cs="Times New Roman"/>
        </w:rPr>
        <w:fldChar w:fldCharType="begin"/>
      </w:r>
      <w:r>
        <w:rPr>
          <w:rFonts w:eastAsia="仿宋_GB2312" w:cs="Times New Roman"/>
        </w:rPr>
        <w:instrText xml:space="preserve"> PAGEREF _Toc18114 </w:instrText>
      </w:r>
      <w:r>
        <w:rPr>
          <w:rFonts w:eastAsia="仿宋_GB2312" w:cs="Times New Roman"/>
        </w:rPr>
        <w:fldChar w:fldCharType="separate"/>
      </w:r>
      <w:r>
        <w:rPr>
          <w:rFonts w:eastAsia="仿宋_GB2312" w:cs="Times New Roman"/>
        </w:rPr>
        <w:t>23</w:t>
      </w:r>
      <w:r>
        <w:rPr>
          <w:rFonts w:eastAsia="仿宋_GB2312" w:cs="Times New Roman"/>
        </w:rPr>
        <w:fldChar w:fldCharType="end"/>
      </w:r>
      <w:r>
        <w:rPr>
          <w:rFonts w:eastAsia="仿宋_GB2312" w:cs="Times New Roman"/>
        </w:rPr>
        <w:fldChar w:fldCharType="end"/>
      </w:r>
    </w:p>
    <w:p>
      <w:pPr>
        <w:pStyle w:val="12"/>
        <w:tabs>
          <w:tab w:val="right" w:leader="dot" w:pos="9070"/>
        </w:tabs>
        <w:spacing w:before="0" w:line="360" w:lineRule="auto"/>
        <w:ind w:firstLine="0" w:firstLineChars="0"/>
        <w:rPr>
          <w:rFonts w:eastAsia="仿宋_GB2312" w:cs="Times New Roman"/>
        </w:rPr>
      </w:pPr>
      <w:r>
        <w:fldChar w:fldCharType="begin"/>
      </w:r>
      <w:r>
        <w:instrText xml:space="preserve"> HYPERLINK \l "_Toc17714" </w:instrText>
      </w:r>
      <w:r>
        <w:fldChar w:fldCharType="separate"/>
      </w:r>
      <w:r>
        <w:rPr>
          <w:rFonts w:eastAsia="仿宋_GB2312" w:cs="Times New Roman"/>
        </w:rPr>
        <w:t>3.1 防治责任范围监测</w:t>
      </w:r>
      <w:r>
        <w:rPr>
          <w:rFonts w:eastAsia="仿宋_GB2312" w:cs="Times New Roman"/>
        </w:rPr>
        <w:tab/>
      </w:r>
      <w:r>
        <w:rPr>
          <w:rFonts w:eastAsia="仿宋_GB2312" w:cs="Times New Roman"/>
        </w:rPr>
        <w:fldChar w:fldCharType="begin"/>
      </w:r>
      <w:r>
        <w:rPr>
          <w:rFonts w:eastAsia="仿宋_GB2312" w:cs="Times New Roman"/>
        </w:rPr>
        <w:instrText xml:space="preserve"> PAGEREF _Toc17714 </w:instrText>
      </w:r>
      <w:r>
        <w:rPr>
          <w:rFonts w:eastAsia="仿宋_GB2312" w:cs="Times New Roman"/>
        </w:rPr>
        <w:fldChar w:fldCharType="separate"/>
      </w:r>
      <w:r>
        <w:rPr>
          <w:rFonts w:eastAsia="仿宋_GB2312" w:cs="Times New Roman"/>
        </w:rPr>
        <w:t>23</w:t>
      </w:r>
      <w:r>
        <w:rPr>
          <w:rFonts w:eastAsia="仿宋_GB2312" w:cs="Times New Roman"/>
        </w:rPr>
        <w:fldChar w:fldCharType="end"/>
      </w:r>
      <w:r>
        <w:rPr>
          <w:rFonts w:eastAsia="仿宋_GB2312" w:cs="Times New Roman"/>
        </w:rPr>
        <w:fldChar w:fldCharType="end"/>
      </w:r>
    </w:p>
    <w:p>
      <w:pPr>
        <w:pStyle w:val="12"/>
        <w:tabs>
          <w:tab w:val="right" w:leader="dot" w:pos="9070"/>
        </w:tabs>
        <w:spacing w:before="0" w:line="360" w:lineRule="auto"/>
        <w:ind w:firstLine="0" w:firstLineChars="0"/>
        <w:rPr>
          <w:rFonts w:eastAsia="仿宋_GB2312" w:cs="Times New Roman"/>
        </w:rPr>
      </w:pPr>
      <w:r>
        <w:fldChar w:fldCharType="begin"/>
      </w:r>
      <w:r>
        <w:instrText xml:space="preserve"> HYPERLINK \l "_Toc19215" </w:instrText>
      </w:r>
      <w:r>
        <w:fldChar w:fldCharType="separate"/>
      </w:r>
      <w:r>
        <w:rPr>
          <w:rFonts w:eastAsia="仿宋_GB2312" w:cs="Times New Roman"/>
        </w:rPr>
        <w:t>3.2 取料监测结果</w:t>
      </w:r>
      <w:r>
        <w:rPr>
          <w:rFonts w:eastAsia="仿宋_GB2312" w:cs="Times New Roman"/>
        </w:rPr>
        <w:tab/>
      </w:r>
      <w:r>
        <w:rPr>
          <w:rFonts w:eastAsia="仿宋_GB2312" w:cs="Times New Roman"/>
        </w:rPr>
        <w:fldChar w:fldCharType="begin"/>
      </w:r>
      <w:r>
        <w:rPr>
          <w:rFonts w:eastAsia="仿宋_GB2312" w:cs="Times New Roman"/>
        </w:rPr>
        <w:instrText xml:space="preserve"> PAGEREF _Toc19215 </w:instrText>
      </w:r>
      <w:r>
        <w:rPr>
          <w:rFonts w:eastAsia="仿宋_GB2312" w:cs="Times New Roman"/>
        </w:rPr>
        <w:fldChar w:fldCharType="separate"/>
      </w:r>
      <w:r>
        <w:rPr>
          <w:rFonts w:eastAsia="仿宋_GB2312" w:cs="Times New Roman"/>
        </w:rPr>
        <w:t>24</w:t>
      </w:r>
      <w:r>
        <w:rPr>
          <w:rFonts w:eastAsia="仿宋_GB2312" w:cs="Times New Roman"/>
        </w:rPr>
        <w:fldChar w:fldCharType="end"/>
      </w:r>
      <w:r>
        <w:rPr>
          <w:rFonts w:eastAsia="仿宋_GB2312" w:cs="Times New Roman"/>
        </w:rPr>
        <w:fldChar w:fldCharType="end"/>
      </w:r>
    </w:p>
    <w:p>
      <w:pPr>
        <w:pStyle w:val="12"/>
        <w:tabs>
          <w:tab w:val="right" w:leader="dot" w:pos="9070"/>
        </w:tabs>
        <w:spacing w:before="0" w:line="360" w:lineRule="auto"/>
        <w:ind w:firstLine="0" w:firstLineChars="0"/>
        <w:rPr>
          <w:rFonts w:eastAsia="仿宋_GB2312" w:cs="Times New Roman"/>
        </w:rPr>
      </w:pPr>
      <w:r>
        <w:fldChar w:fldCharType="begin"/>
      </w:r>
      <w:r>
        <w:instrText xml:space="preserve"> HYPERLINK \l "_Toc33" </w:instrText>
      </w:r>
      <w:r>
        <w:fldChar w:fldCharType="separate"/>
      </w:r>
      <w:r>
        <w:rPr>
          <w:rFonts w:eastAsia="仿宋_GB2312" w:cs="Times New Roman"/>
        </w:rPr>
        <w:t>3.3 弃渣监测结果</w:t>
      </w:r>
      <w:r>
        <w:rPr>
          <w:rFonts w:eastAsia="仿宋_GB2312" w:cs="Times New Roman"/>
        </w:rPr>
        <w:tab/>
      </w:r>
      <w:r>
        <w:rPr>
          <w:rFonts w:eastAsia="仿宋_GB2312" w:cs="Times New Roman"/>
        </w:rPr>
        <w:fldChar w:fldCharType="begin"/>
      </w:r>
      <w:r>
        <w:rPr>
          <w:rFonts w:eastAsia="仿宋_GB2312" w:cs="Times New Roman"/>
        </w:rPr>
        <w:instrText xml:space="preserve"> PAGEREF _Toc33 </w:instrText>
      </w:r>
      <w:r>
        <w:rPr>
          <w:rFonts w:eastAsia="仿宋_GB2312" w:cs="Times New Roman"/>
        </w:rPr>
        <w:fldChar w:fldCharType="separate"/>
      </w:r>
      <w:r>
        <w:rPr>
          <w:rFonts w:eastAsia="仿宋_GB2312" w:cs="Times New Roman"/>
        </w:rPr>
        <w:t>24</w:t>
      </w:r>
      <w:r>
        <w:rPr>
          <w:rFonts w:eastAsia="仿宋_GB2312" w:cs="Times New Roman"/>
        </w:rPr>
        <w:fldChar w:fldCharType="end"/>
      </w:r>
      <w:r>
        <w:rPr>
          <w:rFonts w:eastAsia="仿宋_GB2312" w:cs="Times New Roman"/>
        </w:rPr>
        <w:fldChar w:fldCharType="end"/>
      </w:r>
    </w:p>
    <w:p>
      <w:pPr>
        <w:pStyle w:val="12"/>
        <w:tabs>
          <w:tab w:val="right" w:leader="dot" w:pos="9070"/>
        </w:tabs>
        <w:spacing w:before="0" w:line="360" w:lineRule="auto"/>
        <w:ind w:firstLine="0" w:firstLineChars="0"/>
        <w:rPr>
          <w:rFonts w:eastAsia="仿宋_GB2312" w:cs="Times New Roman"/>
        </w:rPr>
      </w:pPr>
      <w:r>
        <w:fldChar w:fldCharType="begin"/>
      </w:r>
      <w:r>
        <w:instrText xml:space="preserve"> HYPERLINK \l "_Toc28253" </w:instrText>
      </w:r>
      <w:r>
        <w:fldChar w:fldCharType="separate"/>
      </w:r>
      <w:r>
        <w:rPr>
          <w:rFonts w:eastAsia="仿宋_GB2312" w:cs="Times New Roman"/>
        </w:rPr>
        <w:t>3.4 土石方流向情况监测结果</w:t>
      </w:r>
      <w:r>
        <w:rPr>
          <w:rFonts w:eastAsia="仿宋_GB2312" w:cs="Times New Roman"/>
        </w:rPr>
        <w:tab/>
      </w:r>
      <w:r>
        <w:rPr>
          <w:rFonts w:eastAsia="仿宋_GB2312" w:cs="Times New Roman"/>
        </w:rPr>
        <w:fldChar w:fldCharType="begin"/>
      </w:r>
      <w:r>
        <w:rPr>
          <w:rFonts w:eastAsia="仿宋_GB2312" w:cs="Times New Roman"/>
        </w:rPr>
        <w:instrText xml:space="preserve"> PAGEREF _Toc28253 </w:instrText>
      </w:r>
      <w:r>
        <w:rPr>
          <w:rFonts w:eastAsia="仿宋_GB2312" w:cs="Times New Roman"/>
        </w:rPr>
        <w:fldChar w:fldCharType="separate"/>
      </w:r>
      <w:r>
        <w:rPr>
          <w:rFonts w:eastAsia="仿宋_GB2312" w:cs="Times New Roman"/>
        </w:rPr>
        <w:t>25</w:t>
      </w:r>
      <w:r>
        <w:rPr>
          <w:rFonts w:eastAsia="仿宋_GB2312" w:cs="Times New Roman"/>
        </w:rPr>
        <w:fldChar w:fldCharType="end"/>
      </w:r>
      <w:r>
        <w:rPr>
          <w:rFonts w:eastAsia="仿宋_GB2312" w:cs="Times New Roman"/>
        </w:rPr>
        <w:fldChar w:fldCharType="end"/>
      </w:r>
    </w:p>
    <w:p>
      <w:pPr>
        <w:pStyle w:val="12"/>
        <w:tabs>
          <w:tab w:val="right" w:leader="dot" w:pos="9070"/>
        </w:tabs>
        <w:spacing w:before="0" w:line="360" w:lineRule="auto"/>
        <w:ind w:firstLine="0" w:firstLineChars="0"/>
        <w:rPr>
          <w:rFonts w:eastAsia="仿宋_GB2312" w:cs="Times New Roman"/>
        </w:rPr>
      </w:pPr>
      <w:r>
        <w:fldChar w:fldCharType="begin"/>
      </w:r>
      <w:r>
        <w:instrText xml:space="preserve"> HYPERLINK \l "_Toc5889" </w:instrText>
      </w:r>
      <w:r>
        <w:fldChar w:fldCharType="separate"/>
      </w:r>
      <w:r>
        <w:rPr>
          <w:rFonts w:eastAsia="仿宋_GB2312" w:cs="Times New Roman"/>
        </w:rPr>
        <w:t>3.5 其他重点部位监测</w:t>
      </w:r>
      <w:r>
        <w:rPr>
          <w:rFonts w:eastAsia="仿宋_GB2312" w:cs="Times New Roman"/>
        </w:rPr>
        <w:tab/>
      </w:r>
      <w:r>
        <w:rPr>
          <w:rFonts w:eastAsia="仿宋_GB2312" w:cs="Times New Roman"/>
        </w:rPr>
        <w:fldChar w:fldCharType="begin"/>
      </w:r>
      <w:r>
        <w:rPr>
          <w:rFonts w:eastAsia="仿宋_GB2312" w:cs="Times New Roman"/>
        </w:rPr>
        <w:instrText xml:space="preserve"> PAGEREF _Toc5889 </w:instrText>
      </w:r>
      <w:r>
        <w:rPr>
          <w:rFonts w:eastAsia="仿宋_GB2312" w:cs="Times New Roman"/>
        </w:rPr>
        <w:fldChar w:fldCharType="separate"/>
      </w:r>
      <w:r>
        <w:rPr>
          <w:rFonts w:eastAsia="仿宋_GB2312" w:cs="Times New Roman"/>
        </w:rPr>
        <w:t>25</w:t>
      </w:r>
      <w:r>
        <w:rPr>
          <w:rFonts w:eastAsia="仿宋_GB2312" w:cs="Times New Roman"/>
        </w:rPr>
        <w:fldChar w:fldCharType="end"/>
      </w:r>
      <w:r>
        <w:rPr>
          <w:rFonts w:eastAsia="仿宋_GB2312" w:cs="Times New Roman"/>
        </w:rPr>
        <w:fldChar w:fldCharType="end"/>
      </w:r>
    </w:p>
    <w:p>
      <w:pPr>
        <w:pStyle w:val="11"/>
        <w:tabs>
          <w:tab w:val="right" w:leader="dot" w:pos="9070"/>
        </w:tabs>
        <w:spacing w:line="360" w:lineRule="auto"/>
        <w:ind w:firstLine="0" w:firstLineChars="0"/>
        <w:rPr>
          <w:rFonts w:eastAsia="仿宋_GB2312" w:cs="Times New Roman"/>
        </w:rPr>
      </w:pPr>
      <w:r>
        <w:fldChar w:fldCharType="begin"/>
      </w:r>
      <w:r>
        <w:instrText xml:space="preserve"> HYPERLINK \l "_Toc12290" </w:instrText>
      </w:r>
      <w:r>
        <w:fldChar w:fldCharType="separate"/>
      </w:r>
      <w:r>
        <w:rPr>
          <w:rFonts w:eastAsia="仿宋_GB2312" w:cs="Times New Roman"/>
        </w:rPr>
        <w:t>4 水土流失防治措施监测结果</w:t>
      </w:r>
      <w:r>
        <w:rPr>
          <w:rFonts w:eastAsia="仿宋_GB2312" w:cs="Times New Roman"/>
        </w:rPr>
        <w:tab/>
      </w:r>
      <w:r>
        <w:rPr>
          <w:rFonts w:eastAsia="仿宋_GB2312" w:cs="Times New Roman"/>
        </w:rPr>
        <w:fldChar w:fldCharType="begin"/>
      </w:r>
      <w:r>
        <w:rPr>
          <w:rFonts w:eastAsia="仿宋_GB2312" w:cs="Times New Roman"/>
        </w:rPr>
        <w:instrText xml:space="preserve"> PAGEREF _Toc12290 </w:instrText>
      </w:r>
      <w:r>
        <w:rPr>
          <w:rFonts w:eastAsia="仿宋_GB2312" w:cs="Times New Roman"/>
        </w:rPr>
        <w:fldChar w:fldCharType="separate"/>
      </w:r>
      <w:r>
        <w:rPr>
          <w:rFonts w:eastAsia="仿宋_GB2312" w:cs="Times New Roman"/>
        </w:rPr>
        <w:t>27</w:t>
      </w:r>
      <w:r>
        <w:rPr>
          <w:rFonts w:eastAsia="仿宋_GB2312" w:cs="Times New Roman"/>
        </w:rPr>
        <w:fldChar w:fldCharType="end"/>
      </w:r>
      <w:r>
        <w:rPr>
          <w:rFonts w:eastAsia="仿宋_GB2312" w:cs="Times New Roman"/>
        </w:rPr>
        <w:fldChar w:fldCharType="end"/>
      </w:r>
    </w:p>
    <w:p>
      <w:pPr>
        <w:pStyle w:val="12"/>
        <w:tabs>
          <w:tab w:val="right" w:leader="dot" w:pos="9070"/>
        </w:tabs>
        <w:spacing w:before="0" w:line="360" w:lineRule="auto"/>
        <w:ind w:firstLine="0" w:firstLineChars="0"/>
        <w:rPr>
          <w:rFonts w:eastAsia="仿宋_GB2312" w:cs="Times New Roman"/>
        </w:rPr>
      </w:pPr>
      <w:r>
        <w:fldChar w:fldCharType="begin"/>
      </w:r>
      <w:r>
        <w:instrText xml:space="preserve"> HYPERLINK \l "_Toc9577" </w:instrText>
      </w:r>
      <w:r>
        <w:fldChar w:fldCharType="separate"/>
      </w:r>
      <w:r>
        <w:rPr>
          <w:rFonts w:eastAsia="仿宋_GB2312" w:cs="Times New Roman"/>
        </w:rPr>
        <w:t>4.1 工程措施监测结果</w:t>
      </w:r>
      <w:r>
        <w:rPr>
          <w:rFonts w:eastAsia="仿宋_GB2312" w:cs="Times New Roman"/>
        </w:rPr>
        <w:tab/>
      </w:r>
      <w:r>
        <w:rPr>
          <w:rFonts w:eastAsia="仿宋_GB2312" w:cs="Times New Roman"/>
        </w:rPr>
        <w:fldChar w:fldCharType="begin"/>
      </w:r>
      <w:r>
        <w:rPr>
          <w:rFonts w:eastAsia="仿宋_GB2312" w:cs="Times New Roman"/>
        </w:rPr>
        <w:instrText xml:space="preserve"> PAGEREF _Toc9577 </w:instrText>
      </w:r>
      <w:r>
        <w:rPr>
          <w:rFonts w:eastAsia="仿宋_GB2312" w:cs="Times New Roman"/>
        </w:rPr>
        <w:fldChar w:fldCharType="separate"/>
      </w:r>
      <w:r>
        <w:rPr>
          <w:rFonts w:eastAsia="仿宋_GB2312" w:cs="Times New Roman"/>
        </w:rPr>
        <w:t>27</w:t>
      </w:r>
      <w:r>
        <w:rPr>
          <w:rFonts w:eastAsia="仿宋_GB2312" w:cs="Times New Roman"/>
        </w:rPr>
        <w:fldChar w:fldCharType="end"/>
      </w:r>
      <w:r>
        <w:rPr>
          <w:rFonts w:eastAsia="仿宋_GB2312" w:cs="Times New Roman"/>
        </w:rPr>
        <w:fldChar w:fldCharType="end"/>
      </w:r>
    </w:p>
    <w:p>
      <w:pPr>
        <w:pStyle w:val="12"/>
        <w:tabs>
          <w:tab w:val="right" w:leader="dot" w:pos="9070"/>
        </w:tabs>
        <w:spacing w:before="0" w:line="360" w:lineRule="auto"/>
        <w:ind w:firstLine="0" w:firstLineChars="0"/>
        <w:rPr>
          <w:rFonts w:eastAsia="仿宋_GB2312" w:cs="Times New Roman"/>
        </w:rPr>
      </w:pPr>
      <w:r>
        <w:fldChar w:fldCharType="begin"/>
      </w:r>
      <w:r>
        <w:instrText xml:space="preserve"> HYPERLINK \l "_Toc22628" </w:instrText>
      </w:r>
      <w:r>
        <w:fldChar w:fldCharType="separate"/>
      </w:r>
      <w:r>
        <w:rPr>
          <w:rFonts w:eastAsia="仿宋_GB2312" w:cs="Times New Roman"/>
        </w:rPr>
        <w:t>4.2 植物措施监测结果</w:t>
      </w:r>
      <w:r>
        <w:rPr>
          <w:rFonts w:eastAsia="仿宋_GB2312" w:cs="Times New Roman"/>
        </w:rPr>
        <w:tab/>
      </w:r>
      <w:r>
        <w:rPr>
          <w:rFonts w:eastAsia="仿宋_GB2312" w:cs="Times New Roman"/>
        </w:rPr>
        <w:fldChar w:fldCharType="begin"/>
      </w:r>
      <w:r>
        <w:rPr>
          <w:rFonts w:eastAsia="仿宋_GB2312" w:cs="Times New Roman"/>
        </w:rPr>
        <w:instrText xml:space="preserve"> PAGEREF _Toc22628 </w:instrText>
      </w:r>
      <w:r>
        <w:rPr>
          <w:rFonts w:eastAsia="仿宋_GB2312" w:cs="Times New Roman"/>
        </w:rPr>
        <w:fldChar w:fldCharType="separate"/>
      </w:r>
      <w:r>
        <w:rPr>
          <w:rFonts w:eastAsia="仿宋_GB2312" w:cs="Times New Roman"/>
        </w:rPr>
        <w:t>28</w:t>
      </w:r>
      <w:r>
        <w:rPr>
          <w:rFonts w:eastAsia="仿宋_GB2312" w:cs="Times New Roman"/>
        </w:rPr>
        <w:fldChar w:fldCharType="end"/>
      </w:r>
      <w:r>
        <w:rPr>
          <w:rFonts w:eastAsia="仿宋_GB2312" w:cs="Times New Roman"/>
        </w:rPr>
        <w:fldChar w:fldCharType="end"/>
      </w:r>
    </w:p>
    <w:p>
      <w:pPr>
        <w:pStyle w:val="12"/>
        <w:tabs>
          <w:tab w:val="right" w:leader="dot" w:pos="9070"/>
        </w:tabs>
        <w:spacing w:before="0" w:line="360" w:lineRule="auto"/>
        <w:ind w:firstLine="0" w:firstLineChars="0"/>
        <w:rPr>
          <w:rFonts w:eastAsia="仿宋_GB2312" w:cs="Times New Roman"/>
        </w:rPr>
      </w:pPr>
      <w:r>
        <w:fldChar w:fldCharType="begin"/>
      </w:r>
      <w:r>
        <w:instrText xml:space="preserve"> HYPERLINK \l "_Toc18577" </w:instrText>
      </w:r>
      <w:r>
        <w:fldChar w:fldCharType="separate"/>
      </w:r>
      <w:r>
        <w:rPr>
          <w:rFonts w:eastAsia="仿宋_GB2312" w:cs="Times New Roman"/>
        </w:rPr>
        <w:t>4.3 临时防护措施监测结果</w:t>
      </w:r>
      <w:r>
        <w:rPr>
          <w:rFonts w:eastAsia="仿宋_GB2312" w:cs="Times New Roman"/>
        </w:rPr>
        <w:tab/>
      </w:r>
      <w:r>
        <w:rPr>
          <w:rFonts w:eastAsia="仿宋_GB2312" w:cs="Times New Roman"/>
        </w:rPr>
        <w:fldChar w:fldCharType="begin"/>
      </w:r>
      <w:r>
        <w:rPr>
          <w:rFonts w:eastAsia="仿宋_GB2312" w:cs="Times New Roman"/>
        </w:rPr>
        <w:instrText xml:space="preserve"> PAGEREF _Toc18577 </w:instrText>
      </w:r>
      <w:r>
        <w:rPr>
          <w:rFonts w:eastAsia="仿宋_GB2312" w:cs="Times New Roman"/>
        </w:rPr>
        <w:fldChar w:fldCharType="separate"/>
      </w:r>
      <w:r>
        <w:rPr>
          <w:rFonts w:eastAsia="仿宋_GB2312" w:cs="Times New Roman"/>
        </w:rPr>
        <w:t>29</w:t>
      </w:r>
      <w:r>
        <w:rPr>
          <w:rFonts w:eastAsia="仿宋_GB2312" w:cs="Times New Roman"/>
        </w:rPr>
        <w:fldChar w:fldCharType="end"/>
      </w:r>
      <w:r>
        <w:rPr>
          <w:rFonts w:eastAsia="仿宋_GB2312" w:cs="Times New Roman"/>
        </w:rPr>
        <w:fldChar w:fldCharType="end"/>
      </w:r>
    </w:p>
    <w:p>
      <w:pPr>
        <w:pStyle w:val="12"/>
        <w:tabs>
          <w:tab w:val="right" w:leader="dot" w:pos="9070"/>
        </w:tabs>
        <w:spacing w:before="0" w:line="360" w:lineRule="auto"/>
        <w:ind w:firstLine="0" w:firstLineChars="0"/>
        <w:rPr>
          <w:rFonts w:eastAsia="仿宋_GB2312" w:cs="Times New Roman"/>
        </w:rPr>
      </w:pPr>
      <w:r>
        <w:fldChar w:fldCharType="begin"/>
      </w:r>
      <w:r>
        <w:instrText xml:space="preserve"> HYPERLINK \l "_Toc21666" </w:instrText>
      </w:r>
      <w:r>
        <w:fldChar w:fldCharType="separate"/>
      </w:r>
      <w:r>
        <w:rPr>
          <w:rFonts w:eastAsia="仿宋_GB2312" w:cs="Times New Roman"/>
        </w:rPr>
        <w:t>4.4 水土保持措施防治效果</w:t>
      </w:r>
      <w:r>
        <w:rPr>
          <w:rFonts w:eastAsia="仿宋_GB2312" w:cs="Times New Roman"/>
        </w:rPr>
        <w:tab/>
      </w:r>
      <w:r>
        <w:rPr>
          <w:rFonts w:eastAsia="仿宋_GB2312" w:cs="Times New Roman"/>
        </w:rPr>
        <w:fldChar w:fldCharType="begin"/>
      </w:r>
      <w:r>
        <w:rPr>
          <w:rFonts w:eastAsia="仿宋_GB2312" w:cs="Times New Roman"/>
        </w:rPr>
        <w:instrText xml:space="preserve"> PAGEREF _Toc21666 </w:instrText>
      </w:r>
      <w:r>
        <w:rPr>
          <w:rFonts w:eastAsia="仿宋_GB2312" w:cs="Times New Roman"/>
        </w:rPr>
        <w:fldChar w:fldCharType="separate"/>
      </w:r>
      <w:r>
        <w:rPr>
          <w:rFonts w:eastAsia="仿宋_GB2312" w:cs="Times New Roman"/>
        </w:rPr>
        <w:t>30</w:t>
      </w:r>
      <w:r>
        <w:rPr>
          <w:rFonts w:eastAsia="仿宋_GB2312" w:cs="Times New Roman"/>
        </w:rPr>
        <w:fldChar w:fldCharType="end"/>
      </w:r>
      <w:r>
        <w:rPr>
          <w:rFonts w:eastAsia="仿宋_GB2312" w:cs="Times New Roman"/>
        </w:rPr>
        <w:fldChar w:fldCharType="end"/>
      </w:r>
    </w:p>
    <w:p>
      <w:pPr>
        <w:pStyle w:val="11"/>
        <w:tabs>
          <w:tab w:val="right" w:leader="dot" w:pos="9070"/>
        </w:tabs>
        <w:spacing w:line="360" w:lineRule="auto"/>
        <w:ind w:firstLine="0" w:firstLineChars="0"/>
        <w:rPr>
          <w:rFonts w:eastAsia="仿宋_GB2312" w:cs="Times New Roman"/>
        </w:rPr>
      </w:pPr>
      <w:r>
        <w:fldChar w:fldCharType="begin"/>
      </w:r>
      <w:r>
        <w:instrText xml:space="preserve"> HYPERLINK \l "_Toc29396" </w:instrText>
      </w:r>
      <w:r>
        <w:fldChar w:fldCharType="separate"/>
      </w:r>
      <w:r>
        <w:rPr>
          <w:rFonts w:eastAsia="仿宋_GB2312" w:cs="Times New Roman"/>
        </w:rPr>
        <w:t>5 土壤流失情况监测</w:t>
      </w:r>
      <w:r>
        <w:rPr>
          <w:rFonts w:eastAsia="仿宋_GB2312" w:cs="Times New Roman"/>
        </w:rPr>
        <w:tab/>
      </w:r>
      <w:r>
        <w:rPr>
          <w:rFonts w:eastAsia="仿宋_GB2312" w:cs="Times New Roman"/>
        </w:rPr>
        <w:fldChar w:fldCharType="begin"/>
      </w:r>
      <w:r>
        <w:rPr>
          <w:rFonts w:eastAsia="仿宋_GB2312" w:cs="Times New Roman"/>
        </w:rPr>
        <w:instrText xml:space="preserve"> PAGEREF _Toc29396 </w:instrText>
      </w:r>
      <w:r>
        <w:rPr>
          <w:rFonts w:eastAsia="仿宋_GB2312" w:cs="Times New Roman"/>
        </w:rPr>
        <w:fldChar w:fldCharType="separate"/>
      </w:r>
      <w:r>
        <w:rPr>
          <w:rFonts w:eastAsia="仿宋_GB2312" w:cs="Times New Roman"/>
        </w:rPr>
        <w:t>32</w:t>
      </w:r>
      <w:r>
        <w:rPr>
          <w:rFonts w:eastAsia="仿宋_GB2312" w:cs="Times New Roman"/>
        </w:rPr>
        <w:fldChar w:fldCharType="end"/>
      </w:r>
      <w:r>
        <w:rPr>
          <w:rFonts w:eastAsia="仿宋_GB2312" w:cs="Times New Roman"/>
        </w:rPr>
        <w:fldChar w:fldCharType="end"/>
      </w:r>
    </w:p>
    <w:p>
      <w:pPr>
        <w:pStyle w:val="12"/>
        <w:tabs>
          <w:tab w:val="right" w:leader="dot" w:pos="9070"/>
        </w:tabs>
        <w:spacing w:before="0" w:line="360" w:lineRule="auto"/>
        <w:ind w:firstLine="0" w:firstLineChars="0"/>
        <w:rPr>
          <w:rFonts w:eastAsia="仿宋_GB2312" w:cs="Times New Roman"/>
        </w:rPr>
      </w:pPr>
      <w:r>
        <w:fldChar w:fldCharType="begin"/>
      </w:r>
      <w:r>
        <w:instrText xml:space="preserve"> HYPERLINK \l "_Toc2170" </w:instrText>
      </w:r>
      <w:r>
        <w:fldChar w:fldCharType="separate"/>
      </w:r>
      <w:r>
        <w:rPr>
          <w:rFonts w:eastAsia="仿宋_GB2312" w:cs="Times New Roman"/>
        </w:rPr>
        <w:t>5.1 水土流失面积</w:t>
      </w:r>
      <w:r>
        <w:rPr>
          <w:rFonts w:eastAsia="仿宋_GB2312" w:cs="Times New Roman"/>
        </w:rPr>
        <w:tab/>
      </w:r>
      <w:r>
        <w:rPr>
          <w:rFonts w:eastAsia="仿宋_GB2312" w:cs="Times New Roman"/>
        </w:rPr>
        <w:fldChar w:fldCharType="begin"/>
      </w:r>
      <w:r>
        <w:rPr>
          <w:rFonts w:eastAsia="仿宋_GB2312" w:cs="Times New Roman"/>
        </w:rPr>
        <w:instrText xml:space="preserve"> PAGEREF _Toc2170 </w:instrText>
      </w:r>
      <w:r>
        <w:rPr>
          <w:rFonts w:eastAsia="仿宋_GB2312" w:cs="Times New Roman"/>
        </w:rPr>
        <w:fldChar w:fldCharType="separate"/>
      </w:r>
      <w:r>
        <w:rPr>
          <w:rFonts w:eastAsia="仿宋_GB2312" w:cs="Times New Roman"/>
        </w:rPr>
        <w:t>32</w:t>
      </w:r>
      <w:r>
        <w:rPr>
          <w:rFonts w:eastAsia="仿宋_GB2312" w:cs="Times New Roman"/>
        </w:rPr>
        <w:fldChar w:fldCharType="end"/>
      </w:r>
      <w:r>
        <w:rPr>
          <w:rFonts w:eastAsia="仿宋_GB2312" w:cs="Times New Roman"/>
        </w:rPr>
        <w:fldChar w:fldCharType="end"/>
      </w:r>
    </w:p>
    <w:p>
      <w:pPr>
        <w:pStyle w:val="12"/>
        <w:tabs>
          <w:tab w:val="right" w:leader="dot" w:pos="9070"/>
        </w:tabs>
        <w:spacing w:before="0" w:line="360" w:lineRule="auto"/>
        <w:ind w:firstLine="0" w:firstLineChars="0"/>
        <w:rPr>
          <w:rFonts w:eastAsia="仿宋_GB2312" w:cs="Times New Roman"/>
        </w:rPr>
      </w:pPr>
      <w:r>
        <w:fldChar w:fldCharType="begin"/>
      </w:r>
      <w:r>
        <w:instrText xml:space="preserve"> HYPERLINK \l "_Toc4232" </w:instrText>
      </w:r>
      <w:r>
        <w:fldChar w:fldCharType="separate"/>
      </w:r>
      <w:r>
        <w:rPr>
          <w:rFonts w:eastAsia="仿宋_GB2312" w:cs="Times New Roman"/>
        </w:rPr>
        <w:t>5.2 土壤流失量</w:t>
      </w:r>
      <w:r>
        <w:rPr>
          <w:rFonts w:eastAsia="仿宋_GB2312" w:cs="Times New Roman"/>
        </w:rPr>
        <w:tab/>
      </w:r>
      <w:r>
        <w:rPr>
          <w:rFonts w:eastAsia="仿宋_GB2312" w:cs="Times New Roman"/>
        </w:rPr>
        <w:fldChar w:fldCharType="begin"/>
      </w:r>
      <w:r>
        <w:rPr>
          <w:rFonts w:eastAsia="仿宋_GB2312" w:cs="Times New Roman"/>
        </w:rPr>
        <w:instrText xml:space="preserve"> PAGEREF _Toc4232 </w:instrText>
      </w:r>
      <w:r>
        <w:rPr>
          <w:rFonts w:eastAsia="仿宋_GB2312" w:cs="Times New Roman"/>
        </w:rPr>
        <w:fldChar w:fldCharType="separate"/>
      </w:r>
      <w:r>
        <w:rPr>
          <w:rFonts w:eastAsia="仿宋_GB2312" w:cs="Times New Roman"/>
        </w:rPr>
        <w:t>32</w:t>
      </w:r>
      <w:r>
        <w:rPr>
          <w:rFonts w:eastAsia="仿宋_GB2312" w:cs="Times New Roman"/>
        </w:rPr>
        <w:fldChar w:fldCharType="end"/>
      </w:r>
      <w:r>
        <w:rPr>
          <w:rFonts w:eastAsia="仿宋_GB2312" w:cs="Times New Roman"/>
        </w:rPr>
        <w:fldChar w:fldCharType="end"/>
      </w:r>
    </w:p>
    <w:p>
      <w:pPr>
        <w:pStyle w:val="12"/>
        <w:tabs>
          <w:tab w:val="right" w:leader="dot" w:pos="9070"/>
        </w:tabs>
        <w:spacing w:before="0" w:line="360" w:lineRule="auto"/>
        <w:ind w:firstLine="0" w:firstLineChars="0"/>
        <w:rPr>
          <w:rFonts w:eastAsia="仿宋_GB2312" w:cs="Times New Roman"/>
        </w:rPr>
      </w:pPr>
      <w:r>
        <w:fldChar w:fldCharType="begin"/>
      </w:r>
      <w:r>
        <w:instrText xml:space="preserve"> HYPERLINK \l "_Toc4173" </w:instrText>
      </w:r>
      <w:r>
        <w:fldChar w:fldCharType="separate"/>
      </w:r>
      <w:r>
        <w:rPr>
          <w:rFonts w:eastAsia="仿宋_GB2312" w:cs="Times New Roman"/>
        </w:rPr>
        <w:t>5.3 潜在土壤流失量</w:t>
      </w:r>
      <w:r>
        <w:rPr>
          <w:rFonts w:eastAsia="仿宋_GB2312" w:cs="Times New Roman"/>
        </w:rPr>
        <w:tab/>
      </w:r>
      <w:r>
        <w:rPr>
          <w:rFonts w:eastAsia="仿宋_GB2312" w:cs="Times New Roman"/>
        </w:rPr>
        <w:fldChar w:fldCharType="begin"/>
      </w:r>
      <w:r>
        <w:rPr>
          <w:rFonts w:eastAsia="仿宋_GB2312" w:cs="Times New Roman"/>
        </w:rPr>
        <w:instrText xml:space="preserve"> PAGEREF _Toc4173 </w:instrText>
      </w:r>
      <w:r>
        <w:rPr>
          <w:rFonts w:eastAsia="仿宋_GB2312" w:cs="Times New Roman"/>
        </w:rPr>
        <w:fldChar w:fldCharType="separate"/>
      </w:r>
      <w:r>
        <w:rPr>
          <w:rFonts w:eastAsia="仿宋_GB2312" w:cs="Times New Roman"/>
        </w:rPr>
        <w:t>33</w:t>
      </w:r>
      <w:r>
        <w:rPr>
          <w:rFonts w:eastAsia="仿宋_GB2312" w:cs="Times New Roman"/>
        </w:rPr>
        <w:fldChar w:fldCharType="end"/>
      </w:r>
      <w:r>
        <w:rPr>
          <w:rFonts w:eastAsia="仿宋_GB2312" w:cs="Times New Roman"/>
        </w:rPr>
        <w:fldChar w:fldCharType="end"/>
      </w:r>
    </w:p>
    <w:p>
      <w:pPr>
        <w:pStyle w:val="12"/>
        <w:tabs>
          <w:tab w:val="right" w:leader="dot" w:pos="9070"/>
        </w:tabs>
        <w:spacing w:before="0" w:line="360" w:lineRule="auto"/>
        <w:ind w:firstLine="0" w:firstLineChars="0"/>
        <w:rPr>
          <w:rFonts w:eastAsia="仿宋_GB2312" w:cs="Times New Roman"/>
        </w:rPr>
      </w:pPr>
      <w:r>
        <w:fldChar w:fldCharType="begin"/>
      </w:r>
      <w:r>
        <w:instrText xml:space="preserve"> HYPERLINK \l "_Toc12382" </w:instrText>
      </w:r>
      <w:r>
        <w:fldChar w:fldCharType="separate"/>
      </w:r>
      <w:r>
        <w:rPr>
          <w:rFonts w:eastAsia="仿宋_GB2312" w:cs="Times New Roman"/>
        </w:rPr>
        <w:t>5.4 水土流失危害</w:t>
      </w:r>
      <w:r>
        <w:rPr>
          <w:rFonts w:eastAsia="仿宋_GB2312" w:cs="Times New Roman"/>
        </w:rPr>
        <w:tab/>
      </w:r>
      <w:r>
        <w:rPr>
          <w:rFonts w:eastAsia="仿宋_GB2312" w:cs="Times New Roman"/>
        </w:rPr>
        <w:fldChar w:fldCharType="begin"/>
      </w:r>
      <w:r>
        <w:rPr>
          <w:rFonts w:eastAsia="仿宋_GB2312" w:cs="Times New Roman"/>
        </w:rPr>
        <w:instrText xml:space="preserve"> PAGEREF _Toc12382 </w:instrText>
      </w:r>
      <w:r>
        <w:rPr>
          <w:rFonts w:eastAsia="仿宋_GB2312" w:cs="Times New Roman"/>
        </w:rPr>
        <w:fldChar w:fldCharType="separate"/>
      </w:r>
      <w:r>
        <w:rPr>
          <w:rFonts w:eastAsia="仿宋_GB2312" w:cs="Times New Roman"/>
        </w:rPr>
        <w:t>33</w:t>
      </w:r>
      <w:r>
        <w:rPr>
          <w:rFonts w:eastAsia="仿宋_GB2312" w:cs="Times New Roman"/>
        </w:rPr>
        <w:fldChar w:fldCharType="end"/>
      </w:r>
      <w:r>
        <w:rPr>
          <w:rFonts w:eastAsia="仿宋_GB2312" w:cs="Times New Roman"/>
        </w:rPr>
        <w:fldChar w:fldCharType="end"/>
      </w:r>
    </w:p>
    <w:p>
      <w:pPr>
        <w:pStyle w:val="11"/>
        <w:tabs>
          <w:tab w:val="right" w:leader="dot" w:pos="9070"/>
        </w:tabs>
        <w:spacing w:line="360" w:lineRule="auto"/>
        <w:ind w:firstLine="0" w:firstLineChars="0"/>
        <w:rPr>
          <w:rFonts w:eastAsia="仿宋_GB2312" w:cs="Times New Roman"/>
        </w:rPr>
      </w:pPr>
      <w:r>
        <w:fldChar w:fldCharType="begin"/>
      </w:r>
      <w:r>
        <w:instrText xml:space="preserve"> HYPERLINK \l "_Toc31870" </w:instrText>
      </w:r>
      <w:r>
        <w:fldChar w:fldCharType="separate"/>
      </w:r>
      <w:r>
        <w:rPr>
          <w:rFonts w:eastAsia="仿宋_GB2312" w:cs="Times New Roman"/>
        </w:rPr>
        <w:t>6 水土流失防治效果监测结果</w:t>
      </w:r>
      <w:r>
        <w:rPr>
          <w:rFonts w:eastAsia="仿宋_GB2312" w:cs="Times New Roman"/>
        </w:rPr>
        <w:tab/>
      </w:r>
      <w:r>
        <w:rPr>
          <w:rFonts w:eastAsia="仿宋_GB2312" w:cs="Times New Roman"/>
        </w:rPr>
        <w:fldChar w:fldCharType="begin"/>
      </w:r>
      <w:r>
        <w:rPr>
          <w:rFonts w:eastAsia="仿宋_GB2312" w:cs="Times New Roman"/>
        </w:rPr>
        <w:instrText xml:space="preserve"> PAGEREF _Toc31870 </w:instrText>
      </w:r>
      <w:r>
        <w:rPr>
          <w:rFonts w:eastAsia="仿宋_GB2312" w:cs="Times New Roman"/>
        </w:rPr>
        <w:fldChar w:fldCharType="separate"/>
      </w:r>
      <w:r>
        <w:rPr>
          <w:rFonts w:eastAsia="仿宋_GB2312" w:cs="Times New Roman"/>
        </w:rPr>
        <w:t>34</w:t>
      </w:r>
      <w:r>
        <w:rPr>
          <w:rFonts w:eastAsia="仿宋_GB2312" w:cs="Times New Roman"/>
        </w:rPr>
        <w:fldChar w:fldCharType="end"/>
      </w:r>
      <w:r>
        <w:rPr>
          <w:rFonts w:eastAsia="仿宋_GB2312" w:cs="Times New Roman"/>
        </w:rPr>
        <w:fldChar w:fldCharType="end"/>
      </w:r>
    </w:p>
    <w:p>
      <w:pPr>
        <w:pStyle w:val="12"/>
        <w:tabs>
          <w:tab w:val="right" w:leader="dot" w:pos="9070"/>
        </w:tabs>
        <w:spacing w:before="0" w:line="360" w:lineRule="auto"/>
        <w:ind w:firstLine="0" w:firstLineChars="0"/>
        <w:rPr>
          <w:rFonts w:eastAsia="仿宋_GB2312" w:cs="Times New Roman"/>
        </w:rPr>
      </w:pPr>
      <w:r>
        <w:fldChar w:fldCharType="begin"/>
      </w:r>
      <w:r>
        <w:instrText xml:space="preserve"> HYPERLINK \l "_Toc13276" </w:instrText>
      </w:r>
      <w:r>
        <w:fldChar w:fldCharType="separate"/>
      </w:r>
      <w:r>
        <w:rPr>
          <w:rFonts w:eastAsia="仿宋_GB2312" w:cs="Times New Roman"/>
        </w:rPr>
        <w:t>6.1 扰动土地整治率</w:t>
      </w:r>
      <w:r>
        <w:rPr>
          <w:rFonts w:eastAsia="仿宋_GB2312" w:cs="Times New Roman"/>
        </w:rPr>
        <w:tab/>
      </w:r>
      <w:r>
        <w:rPr>
          <w:rFonts w:eastAsia="仿宋_GB2312" w:cs="Times New Roman"/>
        </w:rPr>
        <w:fldChar w:fldCharType="begin"/>
      </w:r>
      <w:r>
        <w:rPr>
          <w:rFonts w:eastAsia="仿宋_GB2312" w:cs="Times New Roman"/>
        </w:rPr>
        <w:instrText xml:space="preserve"> PAGEREF _Toc13276 </w:instrText>
      </w:r>
      <w:r>
        <w:rPr>
          <w:rFonts w:eastAsia="仿宋_GB2312" w:cs="Times New Roman"/>
        </w:rPr>
        <w:fldChar w:fldCharType="separate"/>
      </w:r>
      <w:r>
        <w:rPr>
          <w:rFonts w:eastAsia="仿宋_GB2312" w:cs="Times New Roman"/>
        </w:rPr>
        <w:t>34</w:t>
      </w:r>
      <w:r>
        <w:rPr>
          <w:rFonts w:eastAsia="仿宋_GB2312" w:cs="Times New Roman"/>
        </w:rPr>
        <w:fldChar w:fldCharType="end"/>
      </w:r>
      <w:r>
        <w:rPr>
          <w:rFonts w:eastAsia="仿宋_GB2312" w:cs="Times New Roman"/>
        </w:rPr>
        <w:fldChar w:fldCharType="end"/>
      </w:r>
    </w:p>
    <w:p>
      <w:pPr>
        <w:pStyle w:val="12"/>
        <w:tabs>
          <w:tab w:val="right" w:leader="dot" w:pos="9070"/>
        </w:tabs>
        <w:spacing w:before="0" w:line="360" w:lineRule="auto"/>
        <w:ind w:firstLine="0" w:firstLineChars="0"/>
        <w:rPr>
          <w:rFonts w:eastAsia="仿宋_GB2312" w:cs="Times New Roman"/>
        </w:rPr>
      </w:pPr>
      <w:r>
        <w:fldChar w:fldCharType="begin"/>
      </w:r>
      <w:r>
        <w:instrText xml:space="preserve"> HYPERLINK \l "_Toc6260" </w:instrText>
      </w:r>
      <w:r>
        <w:fldChar w:fldCharType="separate"/>
      </w:r>
      <w:r>
        <w:rPr>
          <w:rFonts w:eastAsia="仿宋_GB2312" w:cs="Times New Roman"/>
        </w:rPr>
        <w:t>6.2 水土流失总治理度</w:t>
      </w:r>
      <w:r>
        <w:rPr>
          <w:rFonts w:eastAsia="仿宋_GB2312" w:cs="Times New Roman"/>
        </w:rPr>
        <w:tab/>
      </w:r>
      <w:r>
        <w:rPr>
          <w:rFonts w:eastAsia="仿宋_GB2312" w:cs="Times New Roman"/>
        </w:rPr>
        <w:fldChar w:fldCharType="begin"/>
      </w:r>
      <w:r>
        <w:rPr>
          <w:rFonts w:eastAsia="仿宋_GB2312" w:cs="Times New Roman"/>
        </w:rPr>
        <w:instrText xml:space="preserve"> PAGEREF _Toc6260 </w:instrText>
      </w:r>
      <w:r>
        <w:rPr>
          <w:rFonts w:eastAsia="仿宋_GB2312" w:cs="Times New Roman"/>
        </w:rPr>
        <w:fldChar w:fldCharType="separate"/>
      </w:r>
      <w:r>
        <w:rPr>
          <w:rFonts w:eastAsia="仿宋_GB2312" w:cs="Times New Roman"/>
        </w:rPr>
        <w:t>34</w:t>
      </w:r>
      <w:r>
        <w:rPr>
          <w:rFonts w:eastAsia="仿宋_GB2312" w:cs="Times New Roman"/>
        </w:rPr>
        <w:fldChar w:fldCharType="end"/>
      </w:r>
      <w:r>
        <w:rPr>
          <w:rFonts w:eastAsia="仿宋_GB2312" w:cs="Times New Roman"/>
        </w:rPr>
        <w:fldChar w:fldCharType="end"/>
      </w:r>
    </w:p>
    <w:p>
      <w:pPr>
        <w:pStyle w:val="12"/>
        <w:tabs>
          <w:tab w:val="right" w:leader="dot" w:pos="9070"/>
        </w:tabs>
        <w:spacing w:before="0" w:line="360" w:lineRule="auto"/>
        <w:ind w:firstLine="0" w:firstLineChars="0"/>
        <w:rPr>
          <w:rFonts w:eastAsia="仿宋_GB2312" w:cs="Times New Roman"/>
        </w:rPr>
      </w:pPr>
      <w:r>
        <w:fldChar w:fldCharType="begin"/>
      </w:r>
      <w:r>
        <w:instrText xml:space="preserve"> HYPERLINK \l "_Toc28865" </w:instrText>
      </w:r>
      <w:r>
        <w:fldChar w:fldCharType="separate"/>
      </w:r>
      <w:r>
        <w:rPr>
          <w:rFonts w:eastAsia="仿宋_GB2312" w:cs="Times New Roman"/>
        </w:rPr>
        <w:t>6.3 土壤流失控制比</w:t>
      </w:r>
      <w:r>
        <w:rPr>
          <w:rFonts w:eastAsia="仿宋_GB2312" w:cs="Times New Roman"/>
        </w:rPr>
        <w:tab/>
      </w:r>
      <w:r>
        <w:rPr>
          <w:rFonts w:eastAsia="仿宋_GB2312" w:cs="Times New Roman"/>
        </w:rPr>
        <w:fldChar w:fldCharType="begin"/>
      </w:r>
      <w:r>
        <w:rPr>
          <w:rFonts w:eastAsia="仿宋_GB2312" w:cs="Times New Roman"/>
        </w:rPr>
        <w:instrText xml:space="preserve"> PAGEREF _Toc28865 </w:instrText>
      </w:r>
      <w:r>
        <w:rPr>
          <w:rFonts w:eastAsia="仿宋_GB2312" w:cs="Times New Roman"/>
        </w:rPr>
        <w:fldChar w:fldCharType="separate"/>
      </w:r>
      <w:r>
        <w:rPr>
          <w:rFonts w:eastAsia="仿宋_GB2312" w:cs="Times New Roman"/>
        </w:rPr>
        <w:t>34</w:t>
      </w:r>
      <w:r>
        <w:rPr>
          <w:rFonts w:eastAsia="仿宋_GB2312" w:cs="Times New Roman"/>
        </w:rPr>
        <w:fldChar w:fldCharType="end"/>
      </w:r>
      <w:r>
        <w:rPr>
          <w:rFonts w:eastAsia="仿宋_GB2312" w:cs="Times New Roman"/>
        </w:rPr>
        <w:fldChar w:fldCharType="end"/>
      </w:r>
    </w:p>
    <w:p>
      <w:pPr>
        <w:pStyle w:val="12"/>
        <w:tabs>
          <w:tab w:val="right" w:leader="dot" w:pos="9070"/>
        </w:tabs>
        <w:spacing w:before="0" w:line="360" w:lineRule="auto"/>
        <w:ind w:firstLine="0" w:firstLineChars="0"/>
        <w:rPr>
          <w:rFonts w:eastAsia="仿宋_GB2312" w:cs="Times New Roman"/>
        </w:rPr>
      </w:pPr>
      <w:r>
        <w:fldChar w:fldCharType="begin"/>
      </w:r>
      <w:r>
        <w:instrText xml:space="preserve"> HYPERLINK \l "_Toc8972" </w:instrText>
      </w:r>
      <w:r>
        <w:fldChar w:fldCharType="separate"/>
      </w:r>
      <w:r>
        <w:rPr>
          <w:rFonts w:eastAsia="仿宋_GB2312" w:cs="Times New Roman"/>
        </w:rPr>
        <w:t>6.4 拦渣率</w:t>
      </w:r>
      <w:r>
        <w:rPr>
          <w:rFonts w:eastAsia="仿宋_GB2312" w:cs="Times New Roman"/>
        </w:rPr>
        <w:tab/>
      </w:r>
      <w:r>
        <w:rPr>
          <w:rFonts w:eastAsia="仿宋_GB2312" w:cs="Times New Roman"/>
        </w:rPr>
        <w:fldChar w:fldCharType="begin"/>
      </w:r>
      <w:r>
        <w:rPr>
          <w:rFonts w:eastAsia="仿宋_GB2312" w:cs="Times New Roman"/>
        </w:rPr>
        <w:instrText xml:space="preserve"> PAGEREF _Toc8972 </w:instrText>
      </w:r>
      <w:r>
        <w:rPr>
          <w:rFonts w:eastAsia="仿宋_GB2312" w:cs="Times New Roman"/>
        </w:rPr>
        <w:fldChar w:fldCharType="separate"/>
      </w:r>
      <w:r>
        <w:rPr>
          <w:rFonts w:eastAsia="仿宋_GB2312" w:cs="Times New Roman"/>
        </w:rPr>
        <w:t>35</w:t>
      </w:r>
      <w:r>
        <w:rPr>
          <w:rFonts w:eastAsia="仿宋_GB2312" w:cs="Times New Roman"/>
        </w:rPr>
        <w:fldChar w:fldCharType="end"/>
      </w:r>
      <w:r>
        <w:rPr>
          <w:rFonts w:eastAsia="仿宋_GB2312" w:cs="Times New Roman"/>
        </w:rPr>
        <w:fldChar w:fldCharType="end"/>
      </w:r>
    </w:p>
    <w:p>
      <w:pPr>
        <w:pStyle w:val="12"/>
        <w:tabs>
          <w:tab w:val="right" w:leader="dot" w:pos="9070"/>
        </w:tabs>
        <w:spacing w:before="0" w:line="360" w:lineRule="auto"/>
        <w:ind w:firstLine="0" w:firstLineChars="0"/>
        <w:rPr>
          <w:rFonts w:eastAsia="仿宋_GB2312" w:cs="Times New Roman"/>
        </w:rPr>
      </w:pPr>
      <w:r>
        <w:fldChar w:fldCharType="begin"/>
      </w:r>
      <w:r>
        <w:instrText xml:space="preserve"> HYPERLINK \l "_Toc12868" </w:instrText>
      </w:r>
      <w:r>
        <w:fldChar w:fldCharType="separate"/>
      </w:r>
      <w:r>
        <w:rPr>
          <w:rFonts w:eastAsia="仿宋_GB2312" w:cs="Times New Roman"/>
        </w:rPr>
        <w:t>6.5 林草植被恢复率</w:t>
      </w:r>
      <w:r>
        <w:rPr>
          <w:rFonts w:eastAsia="仿宋_GB2312" w:cs="Times New Roman"/>
        </w:rPr>
        <w:tab/>
      </w:r>
      <w:r>
        <w:rPr>
          <w:rFonts w:eastAsia="仿宋_GB2312" w:cs="Times New Roman"/>
        </w:rPr>
        <w:fldChar w:fldCharType="begin"/>
      </w:r>
      <w:r>
        <w:rPr>
          <w:rFonts w:eastAsia="仿宋_GB2312" w:cs="Times New Roman"/>
        </w:rPr>
        <w:instrText xml:space="preserve"> PAGEREF _Toc12868 </w:instrText>
      </w:r>
      <w:r>
        <w:rPr>
          <w:rFonts w:eastAsia="仿宋_GB2312" w:cs="Times New Roman"/>
        </w:rPr>
        <w:fldChar w:fldCharType="separate"/>
      </w:r>
      <w:r>
        <w:rPr>
          <w:rFonts w:eastAsia="仿宋_GB2312" w:cs="Times New Roman"/>
        </w:rPr>
        <w:t>35</w:t>
      </w:r>
      <w:r>
        <w:rPr>
          <w:rFonts w:eastAsia="仿宋_GB2312" w:cs="Times New Roman"/>
        </w:rPr>
        <w:fldChar w:fldCharType="end"/>
      </w:r>
      <w:r>
        <w:rPr>
          <w:rFonts w:eastAsia="仿宋_GB2312" w:cs="Times New Roman"/>
        </w:rPr>
        <w:fldChar w:fldCharType="end"/>
      </w:r>
    </w:p>
    <w:p>
      <w:pPr>
        <w:pStyle w:val="12"/>
        <w:tabs>
          <w:tab w:val="right" w:leader="dot" w:pos="9070"/>
        </w:tabs>
        <w:spacing w:before="0" w:line="360" w:lineRule="auto"/>
        <w:ind w:firstLine="0" w:firstLineChars="0"/>
        <w:rPr>
          <w:rFonts w:eastAsia="仿宋_GB2312" w:cs="Times New Roman"/>
        </w:rPr>
      </w:pPr>
      <w:r>
        <w:fldChar w:fldCharType="begin"/>
      </w:r>
      <w:r>
        <w:instrText xml:space="preserve"> HYPERLINK \l "_Toc19265" </w:instrText>
      </w:r>
      <w:r>
        <w:fldChar w:fldCharType="separate"/>
      </w:r>
      <w:r>
        <w:rPr>
          <w:rFonts w:eastAsia="仿宋_GB2312" w:cs="Times New Roman"/>
        </w:rPr>
        <w:t>6.6 林草覆盖率</w:t>
      </w:r>
      <w:r>
        <w:rPr>
          <w:rFonts w:eastAsia="仿宋_GB2312" w:cs="Times New Roman"/>
        </w:rPr>
        <w:tab/>
      </w:r>
      <w:r>
        <w:rPr>
          <w:rFonts w:eastAsia="仿宋_GB2312" w:cs="Times New Roman"/>
        </w:rPr>
        <w:fldChar w:fldCharType="begin"/>
      </w:r>
      <w:r>
        <w:rPr>
          <w:rFonts w:eastAsia="仿宋_GB2312" w:cs="Times New Roman"/>
        </w:rPr>
        <w:instrText xml:space="preserve"> PAGEREF _Toc19265 </w:instrText>
      </w:r>
      <w:r>
        <w:rPr>
          <w:rFonts w:eastAsia="仿宋_GB2312" w:cs="Times New Roman"/>
        </w:rPr>
        <w:fldChar w:fldCharType="separate"/>
      </w:r>
      <w:r>
        <w:rPr>
          <w:rFonts w:eastAsia="仿宋_GB2312" w:cs="Times New Roman"/>
        </w:rPr>
        <w:t>35</w:t>
      </w:r>
      <w:r>
        <w:rPr>
          <w:rFonts w:eastAsia="仿宋_GB2312" w:cs="Times New Roman"/>
        </w:rPr>
        <w:fldChar w:fldCharType="end"/>
      </w:r>
      <w:r>
        <w:rPr>
          <w:rFonts w:eastAsia="仿宋_GB2312" w:cs="Times New Roman"/>
        </w:rPr>
        <w:fldChar w:fldCharType="end"/>
      </w:r>
    </w:p>
    <w:p>
      <w:pPr>
        <w:pStyle w:val="11"/>
        <w:tabs>
          <w:tab w:val="right" w:leader="dot" w:pos="9070"/>
        </w:tabs>
        <w:spacing w:line="360" w:lineRule="auto"/>
        <w:ind w:firstLine="0" w:firstLineChars="0"/>
        <w:rPr>
          <w:rFonts w:eastAsia="仿宋_GB2312" w:cs="Times New Roman"/>
        </w:rPr>
      </w:pPr>
      <w:r>
        <w:fldChar w:fldCharType="begin"/>
      </w:r>
      <w:r>
        <w:instrText xml:space="preserve"> HYPERLINK \l "_Toc16782" </w:instrText>
      </w:r>
      <w:r>
        <w:fldChar w:fldCharType="separate"/>
      </w:r>
      <w:r>
        <w:rPr>
          <w:rFonts w:eastAsia="仿宋_GB2312" w:cs="Times New Roman"/>
        </w:rPr>
        <w:t>7 结论</w:t>
      </w:r>
      <w:r>
        <w:rPr>
          <w:rFonts w:eastAsia="仿宋_GB2312" w:cs="Times New Roman"/>
        </w:rPr>
        <w:tab/>
      </w:r>
      <w:r>
        <w:rPr>
          <w:rFonts w:eastAsia="仿宋_GB2312" w:cs="Times New Roman"/>
        </w:rPr>
        <w:fldChar w:fldCharType="begin"/>
      </w:r>
      <w:r>
        <w:rPr>
          <w:rFonts w:eastAsia="仿宋_GB2312" w:cs="Times New Roman"/>
        </w:rPr>
        <w:instrText xml:space="preserve"> PAGEREF _Toc16782 </w:instrText>
      </w:r>
      <w:r>
        <w:rPr>
          <w:rFonts w:eastAsia="仿宋_GB2312" w:cs="Times New Roman"/>
        </w:rPr>
        <w:fldChar w:fldCharType="separate"/>
      </w:r>
      <w:r>
        <w:rPr>
          <w:rFonts w:eastAsia="仿宋_GB2312" w:cs="Times New Roman"/>
        </w:rPr>
        <w:t>37</w:t>
      </w:r>
      <w:r>
        <w:rPr>
          <w:rFonts w:eastAsia="仿宋_GB2312" w:cs="Times New Roman"/>
        </w:rPr>
        <w:fldChar w:fldCharType="end"/>
      </w:r>
      <w:r>
        <w:rPr>
          <w:rFonts w:eastAsia="仿宋_GB2312" w:cs="Times New Roman"/>
        </w:rPr>
        <w:fldChar w:fldCharType="end"/>
      </w:r>
    </w:p>
    <w:p>
      <w:pPr>
        <w:pStyle w:val="12"/>
        <w:tabs>
          <w:tab w:val="right" w:leader="dot" w:pos="9070"/>
        </w:tabs>
        <w:spacing w:before="0" w:line="360" w:lineRule="auto"/>
        <w:ind w:firstLine="0" w:firstLineChars="0"/>
        <w:rPr>
          <w:rFonts w:eastAsia="仿宋_GB2312" w:cs="Times New Roman"/>
        </w:rPr>
      </w:pPr>
      <w:r>
        <w:fldChar w:fldCharType="begin"/>
      </w:r>
      <w:r>
        <w:instrText xml:space="preserve"> HYPERLINK \l "_Toc6983" </w:instrText>
      </w:r>
      <w:r>
        <w:fldChar w:fldCharType="separate"/>
      </w:r>
      <w:r>
        <w:rPr>
          <w:rFonts w:eastAsia="仿宋_GB2312" w:cs="Times New Roman"/>
        </w:rPr>
        <w:t>7.1 水土流失动态变化</w:t>
      </w:r>
      <w:r>
        <w:rPr>
          <w:rFonts w:eastAsia="仿宋_GB2312" w:cs="Times New Roman"/>
        </w:rPr>
        <w:tab/>
      </w:r>
      <w:r>
        <w:rPr>
          <w:rFonts w:eastAsia="仿宋_GB2312" w:cs="Times New Roman"/>
        </w:rPr>
        <w:fldChar w:fldCharType="begin"/>
      </w:r>
      <w:r>
        <w:rPr>
          <w:rFonts w:eastAsia="仿宋_GB2312" w:cs="Times New Roman"/>
        </w:rPr>
        <w:instrText xml:space="preserve"> PAGEREF _Toc6983 </w:instrText>
      </w:r>
      <w:r>
        <w:rPr>
          <w:rFonts w:eastAsia="仿宋_GB2312" w:cs="Times New Roman"/>
        </w:rPr>
        <w:fldChar w:fldCharType="separate"/>
      </w:r>
      <w:r>
        <w:rPr>
          <w:rFonts w:eastAsia="仿宋_GB2312" w:cs="Times New Roman"/>
        </w:rPr>
        <w:t>37</w:t>
      </w:r>
      <w:r>
        <w:rPr>
          <w:rFonts w:eastAsia="仿宋_GB2312" w:cs="Times New Roman"/>
        </w:rPr>
        <w:fldChar w:fldCharType="end"/>
      </w:r>
      <w:r>
        <w:rPr>
          <w:rFonts w:eastAsia="仿宋_GB2312" w:cs="Times New Roman"/>
        </w:rPr>
        <w:fldChar w:fldCharType="end"/>
      </w:r>
    </w:p>
    <w:p>
      <w:pPr>
        <w:pStyle w:val="12"/>
        <w:tabs>
          <w:tab w:val="right" w:leader="dot" w:pos="9070"/>
        </w:tabs>
        <w:spacing w:before="0" w:line="360" w:lineRule="auto"/>
        <w:ind w:firstLine="0" w:firstLineChars="0"/>
        <w:rPr>
          <w:rFonts w:eastAsia="仿宋_GB2312" w:cs="Times New Roman"/>
        </w:rPr>
      </w:pPr>
      <w:r>
        <w:fldChar w:fldCharType="begin"/>
      </w:r>
      <w:r>
        <w:instrText xml:space="preserve"> HYPERLINK \l "_Toc5868" </w:instrText>
      </w:r>
      <w:r>
        <w:fldChar w:fldCharType="separate"/>
      </w:r>
      <w:r>
        <w:rPr>
          <w:rFonts w:eastAsia="仿宋_GB2312" w:cs="Times New Roman"/>
        </w:rPr>
        <w:t>7.2 水土保持措施评价</w:t>
      </w:r>
      <w:r>
        <w:rPr>
          <w:rFonts w:eastAsia="仿宋_GB2312" w:cs="Times New Roman"/>
        </w:rPr>
        <w:tab/>
      </w:r>
      <w:r>
        <w:rPr>
          <w:rFonts w:eastAsia="仿宋_GB2312" w:cs="Times New Roman"/>
        </w:rPr>
        <w:fldChar w:fldCharType="begin"/>
      </w:r>
      <w:r>
        <w:rPr>
          <w:rFonts w:eastAsia="仿宋_GB2312" w:cs="Times New Roman"/>
        </w:rPr>
        <w:instrText xml:space="preserve"> PAGEREF _Toc5868 </w:instrText>
      </w:r>
      <w:r>
        <w:rPr>
          <w:rFonts w:eastAsia="仿宋_GB2312" w:cs="Times New Roman"/>
        </w:rPr>
        <w:fldChar w:fldCharType="separate"/>
      </w:r>
      <w:r>
        <w:rPr>
          <w:rFonts w:eastAsia="仿宋_GB2312" w:cs="Times New Roman"/>
        </w:rPr>
        <w:t>38</w:t>
      </w:r>
      <w:r>
        <w:rPr>
          <w:rFonts w:eastAsia="仿宋_GB2312" w:cs="Times New Roman"/>
        </w:rPr>
        <w:fldChar w:fldCharType="end"/>
      </w:r>
      <w:r>
        <w:rPr>
          <w:rFonts w:eastAsia="仿宋_GB2312" w:cs="Times New Roman"/>
        </w:rPr>
        <w:fldChar w:fldCharType="end"/>
      </w:r>
    </w:p>
    <w:p>
      <w:pPr>
        <w:pStyle w:val="12"/>
        <w:tabs>
          <w:tab w:val="right" w:leader="dot" w:pos="9070"/>
        </w:tabs>
        <w:spacing w:before="0" w:line="360" w:lineRule="auto"/>
        <w:ind w:firstLine="0" w:firstLineChars="0"/>
        <w:rPr>
          <w:rFonts w:eastAsia="仿宋_GB2312" w:cs="Times New Roman"/>
        </w:rPr>
      </w:pPr>
      <w:r>
        <w:fldChar w:fldCharType="begin"/>
      </w:r>
      <w:r>
        <w:instrText xml:space="preserve"> HYPERLINK \l "_Toc3453" </w:instrText>
      </w:r>
      <w:r>
        <w:fldChar w:fldCharType="separate"/>
      </w:r>
      <w:r>
        <w:rPr>
          <w:rFonts w:eastAsia="仿宋_GB2312" w:cs="Times New Roman"/>
        </w:rPr>
        <w:t>7.3 存在的问题与建议</w:t>
      </w:r>
      <w:r>
        <w:rPr>
          <w:rFonts w:eastAsia="仿宋_GB2312" w:cs="Times New Roman"/>
        </w:rPr>
        <w:tab/>
      </w:r>
      <w:r>
        <w:rPr>
          <w:rFonts w:eastAsia="仿宋_GB2312" w:cs="Times New Roman"/>
        </w:rPr>
        <w:fldChar w:fldCharType="begin"/>
      </w:r>
      <w:r>
        <w:rPr>
          <w:rFonts w:eastAsia="仿宋_GB2312" w:cs="Times New Roman"/>
        </w:rPr>
        <w:instrText xml:space="preserve"> PAGEREF _Toc3453 </w:instrText>
      </w:r>
      <w:r>
        <w:rPr>
          <w:rFonts w:eastAsia="仿宋_GB2312" w:cs="Times New Roman"/>
        </w:rPr>
        <w:fldChar w:fldCharType="separate"/>
      </w:r>
      <w:r>
        <w:rPr>
          <w:rFonts w:eastAsia="仿宋_GB2312" w:cs="Times New Roman"/>
        </w:rPr>
        <w:t>39</w:t>
      </w:r>
      <w:r>
        <w:rPr>
          <w:rFonts w:eastAsia="仿宋_GB2312" w:cs="Times New Roman"/>
        </w:rPr>
        <w:fldChar w:fldCharType="end"/>
      </w:r>
      <w:r>
        <w:rPr>
          <w:rFonts w:eastAsia="仿宋_GB2312" w:cs="Times New Roman"/>
        </w:rPr>
        <w:fldChar w:fldCharType="end"/>
      </w:r>
    </w:p>
    <w:p>
      <w:pPr>
        <w:pStyle w:val="12"/>
        <w:tabs>
          <w:tab w:val="right" w:leader="dot" w:pos="9070"/>
        </w:tabs>
        <w:spacing w:before="0" w:line="360" w:lineRule="auto"/>
        <w:ind w:firstLine="0" w:firstLineChars="0"/>
        <w:rPr>
          <w:rFonts w:eastAsia="仿宋_GB2312" w:cs="Times New Roman"/>
        </w:rPr>
      </w:pPr>
      <w:r>
        <w:fldChar w:fldCharType="begin"/>
      </w:r>
      <w:r>
        <w:instrText xml:space="preserve"> HYPERLINK \l "_Toc8573" </w:instrText>
      </w:r>
      <w:r>
        <w:fldChar w:fldCharType="separate"/>
      </w:r>
      <w:r>
        <w:rPr>
          <w:rFonts w:eastAsia="仿宋_GB2312" w:cs="Times New Roman"/>
        </w:rPr>
        <w:t>7.4 综合结论</w:t>
      </w:r>
      <w:r>
        <w:rPr>
          <w:rFonts w:eastAsia="仿宋_GB2312" w:cs="Times New Roman"/>
        </w:rPr>
        <w:tab/>
      </w:r>
      <w:r>
        <w:rPr>
          <w:rFonts w:eastAsia="仿宋_GB2312" w:cs="Times New Roman"/>
        </w:rPr>
        <w:fldChar w:fldCharType="begin"/>
      </w:r>
      <w:r>
        <w:rPr>
          <w:rFonts w:eastAsia="仿宋_GB2312" w:cs="Times New Roman"/>
        </w:rPr>
        <w:instrText xml:space="preserve"> PAGEREF _Toc8573 </w:instrText>
      </w:r>
      <w:r>
        <w:rPr>
          <w:rFonts w:eastAsia="仿宋_GB2312" w:cs="Times New Roman"/>
        </w:rPr>
        <w:fldChar w:fldCharType="separate"/>
      </w:r>
      <w:r>
        <w:rPr>
          <w:rFonts w:eastAsia="仿宋_GB2312" w:cs="Times New Roman"/>
        </w:rPr>
        <w:t>39</w:t>
      </w:r>
      <w:r>
        <w:rPr>
          <w:rFonts w:eastAsia="仿宋_GB2312" w:cs="Times New Roman"/>
        </w:rPr>
        <w:fldChar w:fldCharType="end"/>
      </w:r>
      <w:r>
        <w:rPr>
          <w:rFonts w:eastAsia="仿宋_GB2312" w:cs="Times New Roman"/>
        </w:rPr>
        <w:fldChar w:fldCharType="end"/>
      </w:r>
    </w:p>
    <w:p>
      <w:pPr>
        <w:pStyle w:val="11"/>
        <w:tabs>
          <w:tab w:val="right" w:leader="dot" w:pos="9070"/>
        </w:tabs>
        <w:spacing w:line="360" w:lineRule="auto"/>
        <w:ind w:firstLine="0" w:firstLineChars="0"/>
        <w:rPr>
          <w:rFonts w:eastAsia="仿宋_GB2312" w:cs="Times New Roman"/>
        </w:rPr>
      </w:pPr>
      <w:r>
        <w:fldChar w:fldCharType="begin"/>
      </w:r>
      <w:r>
        <w:instrText xml:space="preserve"> HYPERLINK \l "_Toc8662" </w:instrText>
      </w:r>
      <w:r>
        <w:fldChar w:fldCharType="separate"/>
      </w:r>
      <w:r>
        <w:rPr>
          <w:rFonts w:eastAsia="仿宋_GB2312" w:cs="Times New Roman"/>
        </w:rPr>
        <w:t>8 附图及有关资料</w:t>
      </w:r>
      <w:r>
        <w:rPr>
          <w:rFonts w:eastAsia="仿宋_GB2312" w:cs="Times New Roman"/>
        </w:rPr>
        <w:tab/>
      </w:r>
      <w:r>
        <w:rPr>
          <w:rFonts w:eastAsia="仿宋_GB2312" w:cs="Times New Roman"/>
        </w:rPr>
        <w:fldChar w:fldCharType="begin"/>
      </w:r>
      <w:r>
        <w:rPr>
          <w:rFonts w:eastAsia="仿宋_GB2312" w:cs="Times New Roman"/>
        </w:rPr>
        <w:instrText xml:space="preserve"> PAGEREF _Toc8662 </w:instrText>
      </w:r>
      <w:r>
        <w:rPr>
          <w:rFonts w:eastAsia="仿宋_GB2312" w:cs="Times New Roman"/>
        </w:rPr>
        <w:fldChar w:fldCharType="separate"/>
      </w:r>
      <w:r>
        <w:rPr>
          <w:rFonts w:eastAsia="仿宋_GB2312" w:cs="Times New Roman"/>
        </w:rPr>
        <w:t>41</w:t>
      </w:r>
      <w:r>
        <w:rPr>
          <w:rFonts w:eastAsia="仿宋_GB2312" w:cs="Times New Roman"/>
        </w:rPr>
        <w:fldChar w:fldCharType="end"/>
      </w:r>
      <w:r>
        <w:rPr>
          <w:rFonts w:eastAsia="仿宋_GB2312" w:cs="Times New Roman"/>
        </w:rPr>
        <w:fldChar w:fldCharType="end"/>
      </w:r>
    </w:p>
    <w:p>
      <w:pPr>
        <w:pStyle w:val="12"/>
        <w:tabs>
          <w:tab w:val="right" w:leader="dot" w:pos="9070"/>
        </w:tabs>
        <w:spacing w:before="0" w:line="360" w:lineRule="auto"/>
        <w:ind w:firstLine="0" w:firstLineChars="0"/>
        <w:rPr>
          <w:rFonts w:eastAsia="仿宋_GB2312" w:cs="Times New Roman"/>
        </w:rPr>
      </w:pPr>
      <w:r>
        <w:fldChar w:fldCharType="begin"/>
      </w:r>
      <w:r>
        <w:instrText xml:space="preserve"> HYPERLINK \l "_Toc16749" </w:instrText>
      </w:r>
      <w:r>
        <w:fldChar w:fldCharType="separate"/>
      </w:r>
      <w:r>
        <w:rPr>
          <w:rFonts w:eastAsia="仿宋_GB2312" w:cs="Times New Roman"/>
        </w:rPr>
        <w:t>8.1 附件</w:t>
      </w:r>
      <w:r>
        <w:rPr>
          <w:rFonts w:eastAsia="仿宋_GB2312" w:cs="Times New Roman"/>
        </w:rPr>
        <w:tab/>
      </w:r>
      <w:r>
        <w:rPr>
          <w:rFonts w:eastAsia="仿宋_GB2312" w:cs="Times New Roman"/>
        </w:rPr>
        <w:fldChar w:fldCharType="begin"/>
      </w:r>
      <w:r>
        <w:rPr>
          <w:rFonts w:eastAsia="仿宋_GB2312" w:cs="Times New Roman"/>
        </w:rPr>
        <w:instrText xml:space="preserve"> PAGEREF _Toc16749 </w:instrText>
      </w:r>
      <w:r>
        <w:rPr>
          <w:rFonts w:eastAsia="仿宋_GB2312" w:cs="Times New Roman"/>
        </w:rPr>
        <w:fldChar w:fldCharType="separate"/>
      </w:r>
      <w:r>
        <w:rPr>
          <w:rFonts w:eastAsia="仿宋_GB2312" w:cs="Times New Roman"/>
        </w:rPr>
        <w:t>41</w:t>
      </w:r>
      <w:r>
        <w:rPr>
          <w:rFonts w:eastAsia="仿宋_GB2312" w:cs="Times New Roman"/>
        </w:rPr>
        <w:fldChar w:fldCharType="end"/>
      </w:r>
      <w:r>
        <w:rPr>
          <w:rFonts w:eastAsia="仿宋_GB2312" w:cs="Times New Roman"/>
        </w:rPr>
        <w:fldChar w:fldCharType="end"/>
      </w:r>
    </w:p>
    <w:p>
      <w:pPr>
        <w:pStyle w:val="12"/>
        <w:tabs>
          <w:tab w:val="right" w:leader="dot" w:pos="9070"/>
        </w:tabs>
        <w:spacing w:before="0" w:line="360" w:lineRule="auto"/>
        <w:ind w:firstLine="0" w:firstLineChars="0"/>
      </w:pPr>
      <w:r>
        <w:fldChar w:fldCharType="begin"/>
      </w:r>
      <w:r>
        <w:instrText xml:space="preserve"> HYPERLINK \l "_Toc16304" </w:instrText>
      </w:r>
      <w:r>
        <w:fldChar w:fldCharType="separate"/>
      </w:r>
      <w:r>
        <w:rPr>
          <w:rFonts w:eastAsia="仿宋_GB2312" w:cs="Times New Roman"/>
        </w:rPr>
        <w:t>8.2 附图</w:t>
      </w:r>
      <w:r>
        <w:rPr>
          <w:rFonts w:eastAsia="仿宋_GB2312" w:cs="Times New Roman"/>
        </w:rPr>
        <w:tab/>
      </w:r>
      <w:r>
        <w:rPr>
          <w:rFonts w:eastAsia="仿宋_GB2312" w:cs="Times New Roman"/>
        </w:rPr>
        <w:fldChar w:fldCharType="begin"/>
      </w:r>
      <w:r>
        <w:rPr>
          <w:rFonts w:eastAsia="仿宋_GB2312" w:cs="Times New Roman"/>
        </w:rPr>
        <w:instrText xml:space="preserve"> PAGEREF _Toc16304 </w:instrText>
      </w:r>
      <w:r>
        <w:rPr>
          <w:rFonts w:eastAsia="仿宋_GB2312" w:cs="Times New Roman"/>
        </w:rPr>
        <w:fldChar w:fldCharType="separate"/>
      </w:r>
      <w:r>
        <w:rPr>
          <w:rFonts w:eastAsia="仿宋_GB2312" w:cs="Times New Roman"/>
        </w:rPr>
        <w:t>41</w:t>
      </w:r>
      <w:r>
        <w:rPr>
          <w:rFonts w:eastAsia="仿宋_GB2312" w:cs="Times New Roman"/>
        </w:rPr>
        <w:fldChar w:fldCharType="end"/>
      </w:r>
      <w:r>
        <w:rPr>
          <w:rFonts w:eastAsia="仿宋_GB2312" w:cs="Times New Roman"/>
        </w:rPr>
        <w:fldChar w:fldCharType="end"/>
      </w:r>
    </w:p>
    <w:p>
      <w:pPr>
        <w:ind w:firstLine="0" w:firstLineChars="0"/>
        <w:rPr>
          <w:rFonts w:eastAsia="仿宋" w:cs="Times New Roman"/>
        </w:rPr>
      </w:pPr>
      <w:r>
        <w:rPr>
          <w:rFonts w:eastAsia="仿宋" w:cs="Times New Roman"/>
        </w:rPr>
        <w:fldChar w:fldCharType="end"/>
      </w:r>
    </w:p>
    <w:p>
      <w:pPr>
        <w:pStyle w:val="25"/>
        <w:ind w:firstLine="640"/>
        <w:rPr>
          <w:rFonts w:cs="Times New Roman"/>
          <w:sz w:val="32"/>
          <w:szCs w:val="32"/>
        </w:rPr>
        <w:sectPr>
          <w:headerReference r:id="rId9" w:type="default"/>
          <w:footerReference r:id="rId10" w:type="default"/>
          <w:pgSz w:w="11906" w:h="16838"/>
          <w:pgMar w:top="1418" w:right="1418" w:bottom="1418" w:left="1418" w:header="851" w:footer="992" w:gutter="0"/>
          <w:pgBorders>
            <w:top w:val="none" w:sz="0" w:space="0"/>
            <w:left w:val="none" w:sz="0" w:space="0"/>
            <w:bottom w:val="none" w:sz="0" w:space="0"/>
            <w:right w:val="none" w:sz="0" w:space="0"/>
          </w:pgBorders>
          <w:pgNumType w:fmt="upperRoman" w:start="1"/>
          <w:cols w:space="425" w:num="1"/>
          <w:docGrid w:type="lines" w:linePitch="312" w:charSpace="0"/>
        </w:sectPr>
      </w:pPr>
      <w:bookmarkStart w:id="142" w:name="_GoBack"/>
      <w:bookmarkEnd w:id="142"/>
    </w:p>
    <w:p>
      <w:pPr>
        <w:pStyle w:val="2"/>
        <w:rPr>
          <w:rFonts w:cs="Times New Roman"/>
        </w:rPr>
      </w:pPr>
      <w:bookmarkStart w:id="2" w:name="_Toc16365"/>
      <w:r>
        <w:rPr>
          <w:rFonts w:cs="Times New Roman"/>
        </w:rPr>
        <w:t>建设项目及水土保持工作概况</w:t>
      </w:r>
      <w:bookmarkEnd w:id="1"/>
      <w:bookmarkEnd w:id="2"/>
    </w:p>
    <w:p>
      <w:pPr>
        <w:pStyle w:val="3"/>
        <w:numPr>
          <w:ilvl w:val="1"/>
          <w:numId w:val="2"/>
        </w:numPr>
        <w:autoSpaceDE w:val="0"/>
        <w:autoSpaceDN w:val="0"/>
        <w:adjustRightInd w:val="0"/>
        <w:snapToGrid w:val="0"/>
        <w:spacing w:before="240" w:after="240" w:line="500" w:lineRule="exact"/>
        <w:rPr>
          <w:rFonts w:ascii="Times New Roman" w:hAnsi="Times New Roman" w:cs="Times New Roman"/>
        </w:rPr>
      </w:pPr>
      <w:bookmarkStart w:id="3" w:name="_Toc533665992"/>
      <w:bookmarkStart w:id="4" w:name="_Toc27923"/>
      <w:bookmarkStart w:id="5" w:name="_Toc525744893"/>
      <w:bookmarkStart w:id="6" w:name="_Toc2534353"/>
      <w:bookmarkStart w:id="7" w:name="_Toc5825896"/>
      <w:r>
        <w:rPr>
          <w:rFonts w:ascii="Times New Roman" w:hAnsi="Times New Roman" w:cs="Times New Roman"/>
        </w:rPr>
        <w:t>建设项目概况</w:t>
      </w:r>
      <w:bookmarkEnd w:id="3"/>
      <w:bookmarkEnd w:id="4"/>
      <w:bookmarkEnd w:id="5"/>
      <w:bookmarkEnd w:id="6"/>
      <w:bookmarkEnd w:id="7"/>
    </w:p>
    <w:p>
      <w:pPr>
        <w:pStyle w:val="4"/>
        <w:rPr>
          <w:rFonts w:cs="Times New Roman"/>
        </w:rPr>
      </w:pPr>
      <w:r>
        <w:rPr>
          <w:rFonts w:cs="Times New Roman"/>
        </w:rPr>
        <w:t>项目基本情况</w:t>
      </w:r>
    </w:p>
    <w:p>
      <w:pPr>
        <w:pStyle w:val="5"/>
        <w:rPr>
          <w:rFonts w:cs="Times New Roman"/>
        </w:rPr>
      </w:pPr>
      <w:r>
        <w:rPr>
          <w:rFonts w:cs="Times New Roman"/>
        </w:rPr>
        <w:t>地理位置</w:t>
      </w:r>
    </w:p>
    <w:p>
      <w:pPr>
        <w:ind w:firstLine="480"/>
        <w:rPr>
          <w:rFonts w:cs="Times New Roman"/>
          <w:color w:val="000000"/>
        </w:rPr>
      </w:pPr>
      <w:r>
        <w:rPr>
          <w:rFonts w:hint="eastAsia" w:cs="Times New Roman"/>
          <w:color w:val="000000"/>
          <w:lang w:eastAsia="zh-CN"/>
        </w:rPr>
        <w:t>本项目位于天府新区新兴工业园，新兴街道红雀村，地处成都市东郊，位于双流县东部浅丘地区，东临龙泉驿区柏合镇，北靠锦江区三圣街道，西接高新区中和街道，南连本县白沙镇、万安镇，东北与龙泉驿区大面镇接壤。是华龙路、成仁路、外环路三角地带，地理位置十分优越</w:t>
      </w:r>
      <w:r>
        <w:rPr>
          <w:rFonts w:hint="eastAsia" w:cs="Times New Roman"/>
          <w:color w:val="000000"/>
        </w:rPr>
        <w:t>。</w:t>
      </w:r>
    </w:p>
    <w:p>
      <w:pPr>
        <w:ind w:firstLine="480"/>
        <w:rPr>
          <w:rFonts w:cs="Times New Roman"/>
          <w:color w:val="000000"/>
          <w:lang w:bidi="zh-TW"/>
        </w:rPr>
      </w:pPr>
      <w:r>
        <w:rPr>
          <w:rFonts w:hint="eastAsia" w:cs="Times New Roman"/>
          <w:color w:val="000000"/>
          <w:lang w:eastAsia="zh-CN"/>
        </w:rPr>
        <w:t>项目场区东北面紧靠园区三十号道路，北侧为园区货运通道，地理位置优越，交通便捷</w:t>
      </w:r>
      <w:r>
        <w:rPr>
          <w:rFonts w:hint="eastAsia" w:cs="Times New Roman"/>
          <w:color w:val="000000"/>
        </w:rPr>
        <w:t>。</w:t>
      </w:r>
    </w:p>
    <w:p>
      <w:pPr>
        <w:pStyle w:val="5"/>
        <w:rPr>
          <w:rFonts w:cs="Times New Roman"/>
        </w:rPr>
      </w:pPr>
      <w:r>
        <w:rPr>
          <w:rFonts w:cs="Times New Roman"/>
        </w:rPr>
        <w:t>项目规模及特性</w:t>
      </w:r>
    </w:p>
    <w:p>
      <w:pPr>
        <w:ind w:firstLine="480"/>
        <w:rPr>
          <w:rFonts w:cs="Times New Roman"/>
          <w:color w:val="000000"/>
        </w:rPr>
      </w:pPr>
      <w:bookmarkStart w:id="8" w:name="_Toc288297102"/>
      <w:bookmarkStart w:id="9" w:name="_Toc288683125"/>
      <w:r>
        <w:rPr>
          <w:rFonts w:hint="eastAsia" w:cs="Times New Roman"/>
          <w:color w:val="000000"/>
        </w:rPr>
        <w:t>项目名称：</w:t>
      </w:r>
      <w:r>
        <w:rPr>
          <w:rFonts w:hint="eastAsia" w:cs="Times New Roman"/>
          <w:color w:val="000000"/>
          <w:lang w:eastAsia="zh-CN"/>
        </w:rPr>
        <w:t>上海千缘汽车车身模具有限公司关于汽车零部件制造的项目</w:t>
      </w:r>
      <w:r>
        <w:rPr>
          <w:rFonts w:hint="eastAsia" w:cs="Times New Roman"/>
          <w:color w:val="000000"/>
        </w:rPr>
        <w:t>项目</w:t>
      </w:r>
    </w:p>
    <w:p>
      <w:pPr>
        <w:ind w:firstLine="480"/>
        <w:rPr>
          <w:rFonts w:cs="Times New Roman"/>
          <w:color w:val="000000"/>
        </w:rPr>
      </w:pPr>
      <w:r>
        <w:rPr>
          <w:rFonts w:hint="eastAsia" w:cs="Times New Roman"/>
          <w:color w:val="000000"/>
        </w:rPr>
        <w:t>建设性质：新建建设类</w:t>
      </w:r>
    </w:p>
    <w:p>
      <w:pPr>
        <w:ind w:firstLine="480"/>
        <w:rPr>
          <w:rFonts w:cs="Times New Roman"/>
          <w:color w:val="000000"/>
        </w:rPr>
      </w:pPr>
      <w:r>
        <w:rPr>
          <w:rFonts w:hint="eastAsia" w:cs="Times New Roman"/>
          <w:color w:val="000000"/>
        </w:rPr>
        <w:t>建设规模：</w:t>
      </w:r>
      <w:r>
        <w:rPr>
          <w:rFonts w:hint="eastAsia" w:cs="Times New Roman"/>
        </w:rPr>
        <w:t>主要建设内容包括生产用房及配套设施，总建筑面积33188.21m</w:t>
      </w:r>
      <w:r>
        <w:rPr>
          <w:rFonts w:hint="eastAsia" w:cs="Times New Roman"/>
          <w:vertAlign w:val="superscript"/>
        </w:rPr>
        <w:t>2</w:t>
      </w:r>
      <w:r>
        <w:rPr>
          <w:rFonts w:hint="eastAsia" w:cs="Times New Roman"/>
        </w:rPr>
        <w:t>，其中地上建筑面积32225.80m</w:t>
      </w:r>
      <w:r>
        <w:rPr>
          <w:rFonts w:hint="eastAsia" w:cs="Times New Roman"/>
          <w:vertAlign w:val="superscript"/>
        </w:rPr>
        <w:t>2</w:t>
      </w:r>
      <w:r>
        <w:rPr>
          <w:rFonts w:hint="eastAsia" w:cs="Times New Roman"/>
        </w:rPr>
        <w:t>，地下建筑面积962.41m</w:t>
      </w:r>
      <w:r>
        <w:rPr>
          <w:rFonts w:hint="eastAsia" w:cs="Times New Roman"/>
          <w:vertAlign w:val="superscript"/>
        </w:rPr>
        <w:t>2</w:t>
      </w:r>
      <w:r>
        <w:rPr>
          <w:rFonts w:hint="eastAsia" w:cs="Times New Roman"/>
        </w:rPr>
        <w:t>。绿地面积2078.53m</w:t>
      </w:r>
      <w:r>
        <w:rPr>
          <w:rFonts w:hint="eastAsia" w:cs="Times New Roman"/>
          <w:vertAlign w:val="superscript"/>
        </w:rPr>
        <w:t>2</w:t>
      </w:r>
      <w:r>
        <w:rPr>
          <w:rFonts w:hint="eastAsia" w:cs="Times New Roman"/>
        </w:rPr>
        <w:t>，绿地率4.67%</w:t>
      </w:r>
    </w:p>
    <w:p>
      <w:pPr>
        <w:ind w:firstLine="480"/>
        <w:rPr>
          <w:rFonts w:hint="eastAsia" w:eastAsia="仿宋_GB2312" w:cs="Times New Roman"/>
          <w:color w:val="000000"/>
          <w:lang w:eastAsia="zh-CN"/>
        </w:rPr>
      </w:pPr>
      <w:r>
        <w:rPr>
          <w:rFonts w:hint="eastAsia" w:cs="Times New Roman"/>
          <w:color w:val="000000"/>
        </w:rPr>
        <w:t>工程建设地点：</w:t>
      </w:r>
      <w:r>
        <w:rPr>
          <w:rFonts w:hint="eastAsia" w:cs="Times New Roman"/>
          <w:color w:val="000000"/>
          <w:lang w:eastAsia="zh-CN"/>
        </w:rPr>
        <w:t>天府新区新兴工业园</w:t>
      </w:r>
    </w:p>
    <w:p>
      <w:pPr>
        <w:ind w:firstLine="480"/>
        <w:rPr>
          <w:rFonts w:hint="eastAsia" w:eastAsia="仿宋_GB2312" w:cs="Times New Roman"/>
          <w:color w:val="000000"/>
          <w:lang w:eastAsia="zh-CN"/>
        </w:rPr>
      </w:pPr>
      <w:r>
        <w:rPr>
          <w:rFonts w:hint="eastAsia" w:cs="Times New Roman"/>
          <w:color w:val="000000"/>
        </w:rPr>
        <w:t>工程建设期：</w:t>
      </w:r>
      <w:r>
        <w:rPr>
          <w:rFonts w:hint="eastAsia" w:cs="Times New Roman"/>
          <w:color w:val="000000"/>
          <w:lang w:eastAsia="zh-CN"/>
        </w:rPr>
        <w:t>2016年9月</w:t>
      </w:r>
      <w:r>
        <w:rPr>
          <w:rFonts w:hint="eastAsia" w:cs="Times New Roman"/>
          <w:color w:val="000000"/>
        </w:rPr>
        <w:t>～</w:t>
      </w:r>
      <w:r>
        <w:rPr>
          <w:rFonts w:hint="eastAsia" w:cs="Times New Roman"/>
          <w:color w:val="000000"/>
          <w:lang w:eastAsia="zh-CN"/>
        </w:rPr>
        <w:t>2017年9月</w:t>
      </w:r>
      <w:r>
        <w:rPr>
          <w:rFonts w:hint="eastAsia" w:cs="Times New Roman"/>
          <w:color w:val="000000"/>
        </w:rPr>
        <w:t>，总工期共</w:t>
      </w:r>
      <w:r>
        <w:rPr>
          <w:rFonts w:hint="eastAsia" w:cs="Times New Roman"/>
          <w:color w:val="000000"/>
          <w:lang w:eastAsia="zh-CN"/>
        </w:rPr>
        <w:t>13个月</w:t>
      </w:r>
    </w:p>
    <w:p>
      <w:pPr>
        <w:ind w:firstLine="480"/>
        <w:rPr>
          <w:rFonts w:cs="Times New Roman"/>
          <w:color w:val="000000"/>
          <w:lang w:bidi="zh-TW"/>
        </w:rPr>
      </w:pPr>
      <w:r>
        <w:rPr>
          <w:rFonts w:cs="Times New Roman"/>
          <w:color w:val="000000"/>
        </w:rPr>
        <w:t>工程投资及资金筹措</w:t>
      </w:r>
      <w:bookmarkEnd w:id="8"/>
      <w:bookmarkEnd w:id="9"/>
      <w:r>
        <w:rPr>
          <w:rFonts w:cs="Times New Roman"/>
          <w:color w:val="000000"/>
        </w:rPr>
        <w:t>：本项目总投资为</w:t>
      </w:r>
      <w:r>
        <w:rPr>
          <w:rFonts w:hint="eastAsia" w:cs="Times New Roman"/>
          <w:color w:val="000000"/>
          <w:lang w:eastAsia="zh-CN"/>
        </w:rPr>
        <w:t>24000</w:t>
      </w:r>
      <w:r>
        <w:rPr>
          <w:rFonts w:hint="eastAsia" w:cs="Times New Roman"/>
          <w:color w:val="000000"/>
        </w:rPr>
        <w:t>万元</w:t>
      </w:r>
      <w:r>
        <w:rPr>
          <w:rFonts w:cs="Times New Roman"/>
          <w:color w:val="000000"/>
        </w:rPr>
        <w:t>，其中土建投资</w:t>
      </w:r>
      <w:r>
        <w:rPr>
          <w:rFonts w:hint="eastAsia" w:cs="Times New Roman"/>
          <w:color w:val="000000"/>
        </w:rPr>
        <w:t>9230.50万元</w:t>
      </w:r>
      <w:r>
        <w:rPr>
          <w:rFonts w:cs="Times New Roman"/>
          <w:color w:val="000000"/>
        </w:rPr>
        <w:t>，资金来源为</w:t>
      </w:r>
      <w:r>
        <w:rPr>
          <w:rFonts w:hint="eastAsia" w:cs="Times New Roman"/>
          <w:color w:val="000000"/>
          <w:lang w:bidi="zh-TW"/>
        </w:rPr>
        <w:t>资本金及银行贷款</w:t>
      </w:r>
      <w:r>
        <w:rPr>
          <w:rFonts w:hint="eastAsia" w:cs="Times New Roman"/>
        </w:rPr>
        <w:t>的融资方式</w:t>
      </w:r>
      <w:r>
        <w:rPr>
          <w:rFonts w:cs="Times New Roman"/>
          <w:color w:val="000000"/>
          <w:lang w:bidi="zh-TW"/>
        </w:rPr>
        <w:t>。</w:t>
      </w:r>
    </w:p>
    <w:p>
      <w:pPr>
        <w:ind w:firstLine="480"/>
        <w:rPr>
          <w:rFonts w:cs="Times New Roman"/>
        </w:rPr>
      </w:pPr>
      <w:r>
        <w:rPr>
          <w:rFonts w:cs="Times New Roman"/>
        </w:rPr>
        <w:t>工程主要特性指标详见表1.1-1。</w:t>
      </w:r>
    </w:p>
    <w:p>
      <w:pPr>
        <w:pStyle w:val="24"/>
      </w:pPr>
      <w:r>
        <w:br w:type="page"/>
      </w:r>
      <w:r>
        <w:t xml:space="preserve">表 </w:t>
      </w:r>
      <w:r>
        <w:fldChar w:fldCharType="begin"/>
      </w:r>
      <w:r>
        <w:instrText xml:space="preserve"> STYLEREF 2 \s </w:instrText>
      </w:r>
      <w:r>
        <w:fldChar w:fldCharType="separate"/>
      </w:r>
      <w:r>
        <w:t>1.1</w:t>
      </w:r>
      <w:r>
        <w:fldChar w:fldCharType="end"/>
      </w:r>
      <w:r>
        <w:noBreakHyphen/>
      </w:r>
      <w:r>
        <w:fldChar w:fldCharType="begin"/>
      </w:r>
      <w:r>
        <w:instrText xml:space="preserve"> SEQ 表 \* ARABIC \s 2 </w:instrText>
      </w:r>
      <w:r>
        <w:fldChar w:fldCharType="separate"/>
      </w:r>
      <w:r>
        <w:t>1</w:t>
      </w:r>
      <w:r>
        <w:fldChar w:fldCharType="end"/>
      </w:r>
      <w:r>
        <w:t xml:space="preserve">  项目主要特性表</w:t>
      </w:r>
    </w:p>
    <w:tbl>
      <w:tblPr>
        <w:tblStyle w:val="1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24"/>
        <w:gridCol w:w="878"/>
        <w:gridCol w:w="1046"/>
        <w:gridCol w:w="342"/>
        <w:gridCol w:w="2639"/>
        <w:gridCol w:w="1443"/>
        <w:gridCol w:w="231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000" w:type="pct"/>
            <w:gridSpan w:val="7"/>
            <w:tcBorders>
              <w:tl2br w:val="nil"/>
              <w:tr2bl w:val="nil"/>
            </w:tcBorders>
            <w:noWrap w:val="0"/>
            <w:vAlign w:val="center"/>
          </w:tcPr>
          <w:p>
            <w:pPr>
              <w:pStyle w:val="23"/>
              <w:bidi w:val="0"/>
            </w:pPr>
            <w:r>
              <w:t>一、项目的基本情况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6" w:type="pct"/>
            <w:tcBorders>
              <w:tl2br w:val="nil"/>
              <w:tr2bl w:val="nil"/>
            </w:tcBorders>
            <w:noWrap w:val="0"/>
            <w:vAlign w:val="center"/>
          </w:tcPr>
          <w:p>
            <w:pPr>
              <w:pStyle w:val="23"/>
              <w:bidi w:val="0"/>
            </w:pPr>
            <w:r>
              <w:t>序号</w:t>
            </w:r>
          </w:p>
        </w:tc>
        <w:tc>
          <w:tcPr>
            <w:tcW w:w="1036" w:type="pct"/>
            <w:gridSpan w:val="2"/>
            <w:tcBorders>
              <w:tl2br w:val="nil"/>
              <w:tr2bl w:val="nil"/>
            </w:tcBorders>
            <w:noWrap w:val="0"/>
            <w:vAlign w:val="center"/>
          </w:tcPr>
          <w:p>
            <w:pPr>
              <w:pStyle w:val="23"/>
              <w:bidi w:val="0"/>
            </w:pPr>
            <w:r>
              <w:t>项目情况</w:t>
            </w:r>
          </w:p>
        </w:tc>
        <w:tc>
          <w:tcPr>
            <w:tcW w:w="3627" w:type="pct"/>
            <w:gridSpan w:val="4"/>
            <w:tcBorders>
              <w:tl2br w:val="nil"/>
              <w:tr2bl w:val="nil"/>
            </w:tcBorders>
            <w:noWrap w:val="0"/>
            <w:vAlign w:val="center"/>
          </w:tcPr>
          <w:p>
            <w:pPr>
              <w:pStyle w:val="23"/>
              <w:bidi w:val="0"/>
            </w:pPr>
            <w:r>
              <w:t>内容</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6" w:type="pct"/>
            <w:tcBorders>
              <w:tl2br w:val="nil"/>
              <w:tr2bl w:val="nil"/>
            </w:tcBorders>
            <w:noWrap w:val="0"/>
            <w:vAlign w:val="center"/>
          </w:tcPr>
          <w:p>
            <w:pPr>
              <w:pStyle w:val="23"/>
              <w:bidi w:val="0"/>
            </w:pPr>
            <w:r>
              <w:t>1</w:t>
            </w:r>
          </w:p>
        </w:tc>
        <w:tc>
          <w:tcPr>
            <w:tcW w:w="1036" w:type="pct"/>
            <w:gridSpan w:val="2"/>
            <w:tcBorders>
              <w:tl2br w:val="nil"/>
              <w:tr2bl w:val="nil"/>
            </w:tcBorders>
            <w:noWrap w:val="0"/>
            <w:vAlign w:val="center"/>
          </w:tcPr>
          <w:p>
            <w:pPr>
              <w:pStyle w:val="23"/>
              <w:bidi w:val="0"/>
            </w:pPr>
            <w:r>
              <w:t>项目名称</w:t>
            </w:r>
          </w:p>
        </w:tc>
        <w:tc>
          <w:tcPr>
            <w:tcW w:w="3627" w:type="pct"/>
            <w:gridSpan w:val="4"/>
            <w:tcBorders>
              <w:tl2br w:val="nil"/>
              <w:tr2bl w:val="nil"/>
            </w:tcBorders>
            <w:noWrap w:val="0"/>
            <w:vAlign w:val="center"/>
          </w:tcPr>
          <w:p>
            <w:pPr>
              <w:pStyle w:val="23"/>
              <w:bidi w:val="0"/>
            </w:pPr>
            <w:r>
              <w:t>上海千缘汽车车身模具有限公司关于汽车零部件制造的项目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6" w:type="pct"/>
            <w:tcBorders>
              <w:tl2br w:val="nil"/>
              <w:tr2bl w:val="nil"/>
            </w:tcBorders>
            <w:noWrap w:val="0"/>
            <w:vAlign w:val="center"/>
          </w:tcPr>
          <w:p>
            <w:pPr>
              <w:pStyle w:val="23"/>
              <w:bidi w:val="0"/>
            </w:pPr>
            <w:r>
              <w:t>2</w:t>
            </w:r>
          </w:p>
        </w:tc>
        <w:tc>
          <w:tcPr>
            <w:tcW w:w="1036" w:type="pct"/>
            <w:gridSpan w:val="2"/>
            <w:tcBorders>
              <w:tl2br w:val="nil"/>
              <w:tr2bl w:val="nil"/>
            </w:tcBorders>
            <w:noWrap w:val="0"/>
            <w:vAlign w:val="center"/>
          </w:tcPr>
          <w:p>
            <w:pPr>
              <w:pStyle w:val="23"/>
              <w:bidi w:val="0"/>
            </w:pPr>
            <w:r>
              <w:t>建设地点</w:t>
            </w:r>
          </w:p>
        </w:tc>
        <w:tc>
          <w:tcPr>
            <w:tcW w:w="3627" w:type="pct"/>
            <w:gridSpan w:val="4"/>
            <w:tcBorders>
              <w:tl2br w:val="nil"/>
              <w:tr2bl w:val="nil"/>
            </w:tcBorders>
            <w:noWrap w:val="0"/>
            <w:vAlign w:val="center"/>
          </w:tcPr>
          <w:p>
            <w:pPr>
              <w:pStyle w:val="23"/>
              <w:bidi w:val="0"/>
            </w:pPr>
            <w:r>
              <w:t>天府新区新兴工业园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6" w:type="pct"/>
            <w:tcBorders>
              <w:tl2br w:val="nil"/>
              <w:tr2bl w:val="nil"/>
            </w:tcBorders>
            <w:noWrap w:val="0"/>
            <w:vAlign w:val="center"/>
          </w:tcPr>
          <w:p>
            <w:pPr>
              <w:pStyle w:val="23"/>
              <w:bidi w:val="0"/>
            </w:pPr>
            <w:r>
              <w:t>3</w:t>
            </w:r>
          </w:p>
        </w:tc>
        <w:tc>
          <w:tcPr>
            <w:tcW w:w="1036" w:type="pct"/>
            <w:gridSpan w:val="2"/>
            <w:tcBorders>
              <w:tl2br w:val="nil"/>
              <w:tr2bl w:val="nil"/>
            </w:tcBorders>
            <w:noWrap w:val="0"/>
            <w:vAlign w:val="center"/>
          </w:tcPr>
          <w:p>
            <w:pPr>
              <w:pStyle w:val="23"/>
              <w:bidi w:val="0"/>
            </w:pPr>
            <w:r>
              <w:t>建设单位</w:t>
            </w:r>
          </w:p>
        </w:tc>
        <w:tc>
          <w:tcPr>
            <w:tcW w:w="3627" w:type="pct"/>
            <w:gridSpan w:val="4"/>
            <w:tcBorders>
              <w:tl2br w:val="nil"/>
              <w:tr2bl w:val="nil"/>
            </w:tcBorders>
            <w:noWrap w:val="0"/>
            <w:vAlign w:val="center"/>
          </w:tcPr>
          <w:p>
            <w:pPr>
              <w:pStyle w:val="23"/>
              <w:bidi w:val="0"/>
            </w:pPr>
            <w:r>
              <w:t>成都润嘉汽车部件有限公司</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6" w:type="pct"/>
            <w:tcBorders>
              <w:tl2br w:val="nil"/>
              <w:tr2bl w:val="nil"/>
            </w:tcBorders>
            <w:noWrap w:val="0"/>
            <w:vAlign w:val="center"/>
          </w:tcPr>
          <w:p>
            <w:pPr>
              <w:pStyle w:val="23"/>
              <w:bidi w:val="0"/>
            </w:pPr>
            <w:r>
              <w:t>4</w:t>
            </w:r>
          </w:p>
        </w:tc>
        <w:tc>
          <w:tcPr>
            <w:tcW w:w="1036" w:type="pct"/>
            <w:gridSpan w:val="2"/>
            <w:tcBorders>
              <w:tl2br w:val="nil"/>
              <w:tr2bl w:val="nil"/>
            </w:tcBorders>
            <w:noWrap w:val="0"/>
            <w:vAlign w:val="center"/>
          </w:tcPr>
          <w:p>
            <w:pPr>
              <w:pStyle w:val="23"/>
              <w:bidi w:val="0"/>
            </w:pPr>
            <w:r>
              <w:t>项目投资及其来源</w:t>
            </w:r>
          </w:p>
        </w:tc>
        <w:tc>
          <w:tcPr>
            <w:tcW w:w="3627" w:type="pct"/>
            <w:gridSpan w:val="4"/>
            <w:tcBorders>
              <w:tl2br w:val="nil"/>
              <w:tr2bl w:val="nil"/>
            </w:tcBorders>
            <w:noWrap w:val="0"/>
            <w:vAlign w:val="center"/>
          </w:tcPr>
          <w:p>
            <w:pPr>
              <w:pStyle w:val="23"/>
              <w:bidi w:val="0"/>
            </w:pPr>
            <w:r>
              <w:t>总投资24000万元，其中土建投资8430.37万元。资金来源为一是自有资金，二是银行贷款。其中自有资金占70%；银行贷款占4.67%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6" w:type="pct"/>
            <w:tcBorders>
              <w:tl2br w:val="nil"/>
              <w:tr2bl w:val="nil"/>
            </w:tcBorders>
            <w:noWrap w:val="0"/>
            <w:vAlign w:val="center"/>
          </w:tcPr>
          <w:p>
            <w:pPr>
              <w:pStyle w:val="23"/>
              <w:bidi w:val="0"/>
            </w:pPr>
            <w:r>
              <w:t>5</w:t>
            </w:r>
          </w:p>
        </w:tc>
        <w:tc>
          <w:tcPr>
            <w:tcW w:w="1036" w:type="pct"/>
            <w:gridSpan w:val="2"/>
            <w:tcBorders>
              <w:tl2br w:val="nil"/>
              <w:tr2bl w:val="nil"/>
            </w:tcBorders>
            <w:noWrap w:val="0"/>
            <w:vAlign w:val="center"/>
          </w:tcPr>
          <w:p>
            <w:pPr>
              <w:pStyle w:val="23"/>
              <w:bidi w:val="0"/>
            </w:pPr>
            <w:r>
              <w:t>工程性质</w:t>
            </w:r>
          </w:p>
        </w:tc>
        <w:tc>
          <w:tcPr>
            <w:tcW w:w="3627" w:type="pct"/>
            <w:gridSpan w:val="4"/>
            <w:tcBorders>
              <w:tl2br w:val="nil"/>
              <w:tr2bl w:val="nil"/>
            </w:tcBorders>
            <w:noWrap w:val="0"/>
            <w:vAlign w:val="center"/>
          </w:tcPr>
          <w:p>
            <w:pPr>
              <w:pStyle w:val="23"/>
              <w:bidi w:val="0"/>
            </w:pPr>
            <w:r>
              <w:t>新建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6" w:type="pct"/>
            <w:tcBorders>
              <w:tl2br w:val="nil"/>
              <w:tr2bl w:val="nil"/>
            </w:tcBorders>
            <w:noWrap w:val="0"/>
            <w:vAlign w:val="center"/>
          </w:tcPr>
          <w:p>
            <w:pPr>
              <w:pStyle w:val="23"/>
              <w:bidi w:val="0"/>
            </w:pPr>
            <w:r>
              <w:t>6</w:t>
            </w:r>
          </w:p>
        </w:tc>
        <w:tc>
          <w:tcPr>
            <w:tcW w:w="1036" w:type="pct"/>
            <w:gridSpan w:val="2"/>
            <w:tcBorders>
              <w:tl2br w:val="nil"/>
              <w:tr2bl w:val="nil"/>
            </w:tcBorders>
            <w:noWrap w:val="0"/>
            <w:vAlign w:val="center"/>
          </w:tcPr>
          <w:p>
            <w:pPr>
              <w:pStyle w:val="23"/>
              <w:bidi w:val="0"/>
            </w:pPr>
            <w:r>
              <w:t>建设工期</w:t>
            </w:r>
          </w:p>
        </w:tc>
        <w:tc>
          <w:tcPr>
            <w:tcW w:w="3627" w:type="pct"/>
            <w:gridSpan w:val="4"/>
            <w:tcBorders>
              <w:tl2br w:val="nil"/>
              <w:tr2bl w:val="nil"/>
            </w:tcBorders>
            <w:noWrap w:val="0"/>
            <w:vAlign w:val="center"/>
          </w:tcPr>
          <w:p>
            <w:pPr>
              <w:pStyle w:val="23"/>
              <w:bidi w:val="0"/>
            </w:pPr>
            <w:r>
              <w:t>1</w:t>
            </w:r>
            <w:r>
              <w:rPr>
                <w:rFonts w:hint="eastAsia"/>
                <w:lang w:val="en-US" w:eastAsia="zh-CN"/>
              </w:rPr>
              <w:t>3</w:t>
            </w:r>
            <w:r>
              <w:t>个月（2016年</w:t>
            </w:r>
            <w:r>
              <w:rPr>
                <w:rFonts w:hint="eastAsia"/>
                <w:lang w:val="en-US" w:eastAsia="zh-CN"/>
              </w:rPr>
              <w:t>9</w:t>
            </w:r>
            <w:r>
              <w:t>月至2017年</w:t>
            </w:r>
            <w:r>
              <w:rPr>
                <w:rFonts w:hint="eastAsia"/>
                <w:lang w:val="en-US" w:eastAsia="zh-CN"/>
              </w:rPr>
              <w:t>9</w:t>
            </w:r>
            <w:r>
              <w:t>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6" w:type="pct"/>
            <w:tcBorders>
              <w:tl2br w:val="nil"/>
              <w:tr2bl w:val="nil"/>
            </w:tcBorders>
            <w:noWrap w:val="0"/>
            <w:vAlign w:val="center"/>
          </w:tcPr>
          <w:p>
            <w:pPr>
              <w:pStyle w:val="23"/>
              <w:bidi w:val="0"/>
            </w:pPr>
            <w:r>
              <w:t>7</w:t>
            </w:r>
          </w:p>
        </w:tc>
        <w:tc>
          <w:tcPr>
            <w:tcW w:w="1036" w:type="pct"/>
            <w:gridSpan w:val="2"/>
            <w:tcBorders>
              <w:tl2br w:val="nil"/>
              <w:tr2bl w:val="nil"/>
            </w:tcBorders>
            <w:noWrap w:val="0"/>
            <w:vAlign w:val="center"/>
          </w:tcPr>
          <w:p>
            <w:pPr>
              <w:pStyle w:val="23"/>
              <w:bidi w:val="0"/>
            </w:pPr>
            <w:r>
              <w:t>结构形式</w:t>
            </w:r>
          </w:p>
        </w:tc>
        <w:tc>
          <w:tcPr>
            <w:tcW w:w="3627" w:type="pct"/>
            <w:gridSpan w:val="4"/>
            <w:tcBorders>
              <w:tl2br w:val="nil"/>
              <w:tr2bl w:val="nil"/>
            </w:tcBorders>
            <w:noWrap w:val="0"/>
            <w:vAlign w:val="center"/>
          </w:tcPr>
          <w:p>
            <w:pPr>
              <w:pStyle w:val="23"/>
              <w:bidi w:val="0"/>
            </w:pPr>
            <w:r>
              <w:rPr>
                <w:rFonts w:hint="eastAsia"/>
              </w:rPr>
              <w:t>钢结构</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6" w:type="pct"/>
            <w:tcBorders>
              <w:tl2br w:val="nil"/>
              <w:tr2bl w:val="nil"/>
            </w:tcBorders>
            <w:noWrap w:val="0"/>
            <w:vAlign w:val="center"/>
          </w:tcPr>
          <w:p>
            <w:pPr>
              <w:pStyle w:val="23"/>
              <w:bidi w:val="0"/>
            </w:pPr>
            <w:r>
              <w:t>8</w:t>
            </w:r>
          </w:p>
        </w:tc>
        <w:tc>
          <w:tcPr>
            <w:tcW w:w="1036" w:type="pct"/>
            <w:gridSpan w:val="2"/>
            <w:tcBorders>
              <w:tl2br w:val="nil"/>
              <w:tr2bl w:val="nil"/>
            </w:tcBorders>
            <w:noWrap w:val="0"/>
            <w:vAlign w:val="center"/>
          </w:tcPr>
          <w:p>
            <w:pPr>
              <w:pStyle w:val="23"/>
              <w:bidi w:val="0"/>
            </w:pPr>
            <w:r>
              <w:t>基础形式</w:t>
            </w:r>
          </w:p>
        </w:tc>
        <w:tc>
          <w:tcPr>
            <w:tcW w:w="3627" w:type="pct"/>
            <w:gridSpan w:val="4"/>
            <w:tcBorders>
              <w:tl2br w:val="nil"/>
              <w:tr2bl w:val="nil"/>
            </w:tcBorders>
            <w:noWrap w:val="0"/>
            <w:vAlign w:val="center"/>
          </w:tcPr>
          <w:p>
            <w:pPr>
              <w:pStyle w:val="23"/>
              <w:bidi w:val="0"/>
            </w:pPr>
            <w:r>
              <w:t>桩基础</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6" w:type="pct"/>
            <w:tcBorders>
              <w:tl2br w:val="nil"/>
              <w:tr2bl w:val="nil"/>
            </w:tcBorders>
            <w:noWrap w:val="0"/>
            <w:vAlign w:val="center"/>
          </w:tcPr>
          <w:p>
            <w:pPr>
              <w:pStyle w:val="23"/>
              <w:bidi w:val="0"/>
            </w:pPr>
            <w:r>
              <w:t>9</w:t>
            </w:r>
          </w:p>
        </w:tc>
        <w:tc>
          <w:tcPr>
            <w:tcW w:w="1036" w:type="pct"/>
            <w:gridSpan w:val="2"/>
            <w:tcBorders>
              <w:tl2br w:val="nil"/>
              <w:tr2bl w:val="nil"/>
            </w:tcBorders>
            <w:noWrap w:val="0"/>
            <w:vAlign w:val="center"/>
          </w:tcPr>
          <w:p>
            <w:pPr>
              <w:pStyle w:val="23"/>
              <w:bidi w:val="0"/>
            </w:pPr>
            <w:r>
              <w:t>结构设计使用年限</w:t>
            </w:r>
          </w:p>
        </w:tc>
        <w:tc>
          <w:tcPr>
            <w:tcW w:w="3627" w:type="pct"/>
            <w:gridSpan w:val="4"/>
            <w:tcBorders>
              <w:tl2br w:val="nil"/>
              <w:tr2bl w:val="nil"/>
            </w:tcBorders>
            <w:noWrap w:val="0"/>
            <w:vAlign w:val="center"/>
          </w:tcPr>
          <w:p>
            <w:pPr>
              <w:pStyle w:val="23"/>
              <w:bidi w:val="0"/>
            </w:pPr>
            <w:r>
              <w:t>50年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6" w:type="pct"/>
            <w:tcBorders>
              <w:tl2br w:val="nil"/>
              <w:tr2bl w:val="nil"/>
            </w:tcBorders>
            <w:noWrap w:val="0"/>
            <w:vAlign w:val="center"/>
          </w:tcPr>
          <w:p>
            <w:pPr>
              <w:pStyle w:val="23"/>
              <w:bidi w:val="0"/>
            </w:pPr>
            <w:r>
              <w:t>10</w:t>
            </w:r>
          </w:p>
        </w:tc>
        <w:tc>
          <w:tcPr>
            <w:tcW w:w="1036" w:type="pct"/>
            <w:gridSpan w:val="2"/>
            <w:tcBorders>
              <w:tl2br w:val="nil"/>
              <w:tr2bl w:val="nil"/>
            </w:tcBorders>
            <w:noWrap w:val="0"/>
            <w:vAlign w:val="center"/>
          </w:tcPr>
          <w:p>
            <w:pPr>
              <w:pStyle w:val="23"/>
              <w:bidi w:val="0"/>
            </w:pPr>
            <w:r>
              <w:t>抗震设防烈度</w:t>
            </w:r>
          </w:p>
        </w:tc>
        <w:tc>
          <w:tcPr>
            <w:tcW w:w="3627" w:type="pct"/>
            <w:gridSpan w:val="4"/>
            <w:tcBorders>
              <w:tl2br w:val="nil"/>
              <w:tr2bl w:val="nil"/>
            </w:tcBorders>
            <w:noWrap w:val="0"/>
            <w:vAlign w:val="center"/>
          </w:tcPr>
          <w:p>
            <w:pPr>
              <w:pStyle w:val="23"/>
              <w:bidi w:val="0"/>
            </w:pPr>
            <w:r>
              <w:rPr>
                <w:rFonts w:hint="eastAsia"/>
              </w:rPr>
              <w:t>Ⅶ</w:t>
            </w:r>
            <w:r>
              <w:t>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6" w:type="pct"/>
            <w:tcBorders>
              <w:tl2br w:val="nil"/>
              <w:tr2bl w:val="nil"/>
            </w:tcBorders>
            <w:noWrap w:val="0"/>
            <w:vAlign w:val="center"/>
          </w:tcPr>
          <w:p>
            <w:pPr>
              <w:pStyle w:val="23"/>
              <w:bidi w:val="0"/>
            </w:pPr>
            <w:r>
              <w:t>11</w:t>
            </w:r>
          </w:p>
        </w:tc>
        <w:tc>
          <w:tcPr>
            <w:tcW w:w="1036" w:type="pct"/>
            <w:gridSpan w:val="2"/>
            <w:tcBorders>
              <w:tl2br w:val="nil"/>
              <w:tr2bl w:val="nil"/>
            </w:tcBorders>
            <w:noWrap w:val="0"/>
            <w:vAlign w:val="center"/>
          </w:tcPr>
          <w:p>
            <w:pPr>
              <w:pStyle w:val="23"/>
              <w:bidi w:val="0"/>
            </w:pPr>
            <w:r>
              <w:t>建筑耐火等级</w:t>
            </w:r>
          </w:p>
        </w:tc>
        <w:tc>
          <w:tcPr>
            <w:tcW w:w="3627" w:type="pct"/>
            <w:gridSpan w:val="4"/>
            <w:tcBorders>
              <w:tl2br w:val="nil"/>
              <w:tr2bl w:val="nil"/>
            </w:tcBorders>
            <w:noWrap w:val="0"/>
            <w:vAlign w:val="center"/>
          </w:tcPr>
          <w:p>
            <w:pPr>
              <w:pStyle w:val="23"/>
              <w:bidi w:val="0"/>
            </w:pPr>
            <w:r>
              <w:t>二级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6" w:type="pct"/>
            <w:tcBorders>
              <w:tl2br w:val="nil"/>
              <w:tr2bl w:val="nil"/>
            </w:tcBorders>
            <w:noWrap w:val="0"/>
            <w:vAlign w:val="center"/>
          </w:tcPr>
          <w:p>
            <w:pPr>
              <w:pStyle w:val="23"/>
              <w:bidi w:val="0"/>
            </w:pPr>
            <w:r>
              <w:t>12</w:t>
            </w:r>
          </w:p>
        </w:tc>
        <w:tc>
          <w:tcPr>
            <w:tcW w:w="1036" w:type="pct"/>
            <w:gridSpan w:val="2"/>
            <w:tcBorders>
              <w:tl2br w:val="nil"/>
              <w:tr2bl w:val="nil"/>
            </w:tcBorders>
            <w:noWrap w:val="0"/>
            <w:vAlign w:val="center"/>
          </w:tcPr>
          <w:p>
            <w:pPr>
              <w:pStyle w:val="23"/>
              <w:bidi w:val="0"/>
            </w:pPr>
            <w:r>
              <w:t>建筑结构安全等级</w:t>
            </w:r>
          </w:p>
        </w:tc>
        <w:tc>
          <w:tcPr>
            <w:tcW w:w="3627" w:type="pct"/>
            <w:gridSpan w:val="4"/>
            <w:tcBorders>
              <w:tl2br w:val="nil"/>
              <w:tr2bl w:val="nil"/>
            </w:tcBorders>
            <w:noWrap w:val="0"/>
            <w:vAlign w:val="center"/>
          </w:tcPr>
          <w:p>
            <w:pPr>
              <w:pStyle w:val="23"/>
              <w:bidi w:val="0"/>
            </w:pPr>
            <w:r>
              <w:t>二级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6" w:type="pct"/>
            <w:tcBorders>
              <w:tl2br w:val="nil"/>
              <w:tr2bl w:val="nil"/>
            </w:tcBorders>
            <w:noWrap w:val="0"/>
            <w:vAlign w:val="center"/>
          </w:tcPr>
          <w:p>
            <w:pPr>
              <w:pStyle w:val="23"/>
              <w:bidi w:val="0"/>
            </w:pPr>
            <w:r>
              <w:t>1</w:t>
            </w:r>
            <w:r>
              <w:rPr>
                <w:rFonts w:hint="eastAsia"/>
              </w:rPr>
              <w:t>3</w:t>
            </w:r>
          </w:p>
        </w:tc>
        <w:tc>
          <w:tcPr>
            <w:tcW w:w="1036" w:type="pct"/>
            <w:gridSpan w:val="2"/>
            <w:tcBorders>
              <w:tl2br w:val="nil"/>
              <w:tr2bl w:val="nil"/>
            </w:tcBorders>
            <w:noWrap w:val="0"/>
            <w:vAlign w:val="center"/>
          </w:tcPr>
          <w:p>
            <w:pPr>
              <w:pStyle w:val="23"/>
              <w:bidi w:val="0"/>
            </w:pPr>
            <w:r>
              <w:t>用地性质</w:t>
            </w:r>
          </w:p>
        </w:tc>
        <w:tc>
          <w:tcPr>
            <w:tcW w:w="3627" w:type="pct"/>
            <w:gridSpan w:val="4"/>
            <w:tcBorders>
              <w:tl2br w:val="nil"/>
              <w:tr2bl w:val="nil"/>
            </w:tcBorders>
            <w:noWrap w:val="0"/>
            <w:vAlign w:val="center"/>
          </w:tcPr>
          <w:p>
            <w:pPr>
              <w:pStyle w:val="23"/>
              <w:bidi w:val="0"/>
            </w:pPr>
            <w:r>
              <w:rPr>
                <w:rFonts w:hint="eastAsia"/>
              </w:rPr>
              <w:t>工业</w:t>
            </w:r>
            <w:r>
              <w:t>用地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000" w:type="pct"/>
            <w:gridSpan w:val="7"/>
            <w:tcBorders>
              <w:tl2br w:val="nil"/>
              <w:tr2bl w:val="nil"/>
            </w:tcBorders>
            <w:noWrap w:val="0"/>
            <w:vAlign w:val="center"/>
          </w:tcPr>
          <w:p>
            <w:pPr>
              <w:pStyle w:val="23"/>
              <w:bidi w:val="0"/>
            </w:pPr>
            <w:r>
              <w:t>二、项目组成及主要技术指标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6" w:type="pct"/>
            <w:tcBorders>
              <w:tl2br w:val="nil"/>
              <w:tr2bl w:val="nil"/>
            </w:tcBorders>
            <w:noWrap w:val="0"/>
            <w:vAlign w:val="center"/>
          </w:tcPr>
          <w:p>
            <w:pPr>
              <w:pStyle w:val="23"/>
              <w:bidi w:val="0"/>
            </w:pPr>
          </w:p>
        </w:tc>
        <w:tc>
          <w:tcPr>
            <w:tcW w:w="1220" w:type="pct"/>
            <w:gridSpan w:val="3"/>
            <w:tcBorders>
              <w:tl2br w:val="nil"/>
              <w:tr2bl w:val="nil"/>
            </w:tcBorders>
            <w:noWrap w:val="0"/>
            <w:vAlign w:val="center"/>
          </w:tcPr>
          <w:p>
            <w:pPr>
              <w:pStyle w:val="23"/>
              <w:bidi w:val="0"/>
            </w:pPr>
            <w:r>
              <w:t>项　　　　目</w:t>
            </w:r>
          </w:p>
        </w:tc>
        <w:tc>
          <w:tcPr>
            <w:tcW w:w="1421" w:type="pct"/>
            <w:tcBorders>
              <w:tl2br w:val="nil"/>
              <w:tr2bl w:val="nil"/>
            </w:tcBorders>
            <w:noWrap w:val="0"/>
            <w:vAlign w:val="center"/>
          </w:tcPr>
          <w:p>
            <w:pPr>
              <w:pStyle w:val="23"/>
              <w:bidi w:val="0"/>
            </w:pPr>
            <w:r>
              <w:t>单  位</w:t>
            </w:r>
          </w:p>
        </w:tc>
        <w:tc>
          <w:tcPr>
            <w:tcW w:w="777" w:type="pct"/>
            <w:tcBorders>
              <w:tl2br w:val="nil"/>
              <w:tr2bl w:val="nil"/>
            </w:tcBorders>
            <w:noWrap w:val="0"/>
            <w:vAlign w:val="center"/>
          </w:tcPr>
          <w:p>
            <w:pPr>
              <w:pStyle w:val="23"/>
              <w:bidi w:val="0"/>
            </w:pPr>
            <w:r>
              <w:t>数  量</w:t>
            </w:r>
          </w:p>
        </w:tc>
        <w:tc>
          <w:tcPr>
            <w:tcW w:w="1244" w:type="pct"/>
            <w:tcBorders>
              <w:tl2br w:val="nil"/>
              <w:tr2bl w:val="nil"/>
            </w:tcBorders>
            <w:noWrap w:val="0"/>
            <w:vAlign w:val="center"/>
          </w:tcPr>
          <w:p>
            <w:pPr>
              <w:pStyle w:val="23"/>
              <w:bidi w:val="0"/>
            </w:pPr>
            <w:r>
              <w:t>备  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6" w:type="pct"/>
            <w:tcBorders>
              <w:tl2br w:val="nil"/>
              <w:tr2bl w:val="nil"/>
            </w:tcBorders>
            <w:noWrap w:val="0"/>
            <w:vAlign w:val="center"/>
          </w:tcPr>
          <w:p>
            <w:pPr>
              <w:pStyle w:val="23"/>
              <w:bidi w:val="0"/>
            </w:pPr>
            <w:r>
              <w:t>1</w:t>
            </w:r>
          </w:p>
        </w:tc>
        <w:tc>
          <w:tcPr>
            <w:tcW w:w="1220" w:type="pct"/>
            <w:gridSpan w:val="3"/>
            <w:tcBorders>
              <w:tl2br w:val="nil"/>
              <w:tr2bl w:val="nil"/>
            </w:tcBorders>
            <w:noWrap w:val="0"/>
            <w:vAlign w:val="center"/>
          </w:tcPr>
          <w:p>
            <w:pPr>
              <w:pStyle w:val="23"/>
              <w:bidi w:val="0"/>
            </w:pPr>
            <w:r>
              <w:t>建设占地面积</w:t>
            </w:r>
          </w:p>
        </w:tc>
        <w:tc>
          <w:tcPr>
            <w:tcW w:w="1421" w:type="pct"/>
            <w:tcBorders>
              <w:tl2br w:val="nil"/>
              <w:tr2bl w:val="nil"/>
            </w:tcBorders>
            <w:noWrap w:val="0"/>
            <w:vAlign w:val="center"/>
          </w:tcPr>
          <w:p>
            <w:pPr>
              <w:pStyle w:val="23"/>
              <w:bidi w:val="0"/>
            </w:pPr>
            <w:r>
              <w:t>hm</w:t>
            </w:r>
            <w:r>
              <w:rPr>
                <w:vertAlign w:val="superscript"/>
              </w:rPr>
              <w:t>2</w:t>
            </w:r>
          </w:p>
        </w:tc>
        <w:tc>
          <w:tcPr>
            <w:tcW w:w="777" w:type="pct"/>
            <w:tcBorders>
              <w:tl2br w:val="nil"/>
              <w:tr2bl w:val="nil"/>
            </w:tcBorders>
            <w:noWrap w:val="0"/>
            <w:vAlign w:val="center"/>
          </w:tcPr>
          <w:p>
            <w:pPr>
              <w:pStyle w:val="23"/>
              <w:bidi w:val="0"/>
            </w:pPr>
            <w:r>
              <w:t>4.45</w:t>
            </w:r>
          </w:p>
        </w:tc>
        <w:tc>
          <w:tcPr>
            <w:tcW w:w="1244" w:type="pct"/>
            <w:tcBorders>
              <w:tl2br w:val="nil"/>
              <w:tr2bl w:val="nil"/>
            </w:tcBorders>
            <w:noWrap w:val="0"/>
            <w:vAlign w:val="center"/>
          </w:tcPr>
          <w:p>
            <w:pPr>
              <w:pStyle w:val="23"/>
              <w:bidi w:val="0"/>
            </w:pPr>
            <w:r>
              <w:t>永久占地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6" w:type="pct"/>
            <w:tcBorders>
              <w:tl2br w:val="nil"/>
              <w:tr2bl w:val="nil"/>
            </w:tcBorders>
            <w:noWrap w:val="0"/>
            <w:vAlign w:val="center"/>
          </w:tcPr>
          <w:p>
            <w:pPr>
              <w:pStyle w:val="23"/>
              <w:bidi w:val="0"/>
            </w:pPr>
            <w:r>
              <w:t>2</w:t>
            </w:r>
          </w:p>
        </w:tc>
        <w:tc>
          <w:tcPr>
            <w:tcW w:w="1220" w:type="pct"/>
            <w:gridSpan w:val="3"/>
            <w:tcBorders>
              <w:tl2br w:val="nil"/>
              <w:tr2bl w:val="nil"/>
            </w:tcBorders>
            <w:noWrap w:val="0"/>
            <w:vAlign w:val="center"/>
          </w:tcPr>
          <w:p>
            <w:pPr>
              <w:pStyle w:val="23"/>
              <w:bidi w:val="0"/>
            </w:pPr>
            <w:r>
              <w:t>建筑基底面积</w:t>
            </w:r>
          </w:p>
        </w:tc>
        <w:tc>
          <w:tcPr>
            <w:tcW w:w="1421" w:type="pct"/>
            <w:tcBorders>
              <w:tl2br w:val="nil"/>
              <w:tr2bl w:val="nil"/>
            </w:tcBorders>
            <w:noWrap w:val="0"/>
            <w:vAlign w:val="center"/>
          </w:tcPr>
          <w:p>
            <w:pPr>
              <w:pStyle w:val="23"/>
              <w:bidi w:val="0"/>
            </w:pPr>
            <w:r>
              <w:t>m</w:t>
            </w:r>
            <w:r>
              <w:rPr>
                <w:vertAlign w:val="superscript"/>
              </w:rPr>
              <w:t>2</w:t>
            </w:r>
          </w:p>
        </w:tc>
        <w:tc>
          <w:tcPr>
            <w:tcW w:w="777" w:type="pct"/>
            <w:tcBorders>
              <w:tl2br w:val="nil"/>
              <w:tr2bl w:val="nil"/>
            </w:tcBorders>
            <w:noWrap w:val="0"/>
            <w:vAlign w:val="center"/>
          </w:tcPr>
          <w:p>
            <w:pPr>
              <w:pStyle w:val="23"/>
              <w:bidi w:val="0"/>
            </w:pPr>
            <w:r>
              <w:t>27702.60</w:t>
            </w:r>
          </w:p>
        </w:tc>
        <w:tc>
          <w:tcPr>
            <w:tcW w:w="1244" w:type="pct"/>
            <w:tcBorders>
              <w:tl2br w:val="nil"/>
              <w:tr2bl w:val="nil"/>
            </w:tcBorders>
            <w:noWrap w:val="0"/>
            <w:vAlign w:val="center"/>
          </w:tcPr>
          <w:p>
            <w:pPr>
              <w:pStyle w:val="23"/>
              <w:bidi w:val="0"/>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6" w:type="pct"/>
            <w:tcBorders>
              <w:tl2br w:val="nil"/>
              <w:tr2bl w:val="nil"/>
            </w:tcBorders>
            <w:noWrap w:val="0"/>
            <w:vAlign w:val="center"/>
          </w:tcPr>
          <w:p>
            <w:pPr>
              <w:pStyle w:val="23"/>
              <w:bidi w:val="0"/>
            </w:pPr>
            <w:r>
              <w:t>3</w:t>
            </w:r>
          </w:p>
        </w:tc>
        <w:tc>
          <w:tcPr>
            <w:tcW w:w="1220" w:type="pct"/>
            <w:gridSpan w:val="3"/>
            <w:tcBorders>
              <w:tl2br w:val="nil"/>
              <w:tr2bl w:val="nil"/>
            </w:tcBorders>
            <w:noWrap w:val="0"/>
            <w:vAlign w:val="center"/>
          </w:tcPr>
          <w:p>
            <w:pPr>
              <w:pStyle w:val="23"/>
              <w:bidi w:val="0"/>
            </w:pPr>
            <w:r>
              <w:t>建筑面积</w:t>
            </w:r>
          </w:p>
        </w:tc>
        <w:tc>
          <w:tcPr>
            <w:tcW w:w="1421" w:type="pct"/>
            <w:tcBorders>
              <w:tl2br w:val="nil"/>
              <w:tr2bl w:val="nil"/>
            </w:tcBorders>
            <w:noWrap w:val="0"/>
            <w:vAlign w:val="center"/>
          </w:tcPr>
          <w:p>
            <w:pPr>
              <w:pStyle w:val="23"/>
              <w:bidi w:val="0"/>
            </w:pPr>
            <w:r>
              <w:t>m</w:t>
            </w:r>
            <w:r>
              <w:rPr>
                <w:vertAlign w:val="superscript"/>
              </w:rPr>
              <w:t>2</w:t>
            </w:r>
          </w:p>
        </w:tc>
        <w:tc>
          <w:tcPr>
            <w:tcW w:w="777" w:type="pct"/>
            <w:tcBorders>
              <w:tl2br w:val="nil"/>
              <w:tr2bl w:val="nil"/>
            </w:tcBorders>
            <w:noWrap w:val="0"/>
            <w:vAlign w:val="center"/>
          </w:tcPr>
          <w:p>
            <w:pPr>
              <w:pStyle w:val="23"/>
              <w:bidi w:val="0"/>
            </w:pPr>
            <w:r>
              <w:t>33188.21</w:t>
            </w:r>
          </w:p>
        </w:tc>
        <w:tc>
          <w:tcPr>
            <w:tcW w:w="1244" w:type="pct"/>
            <w:tcBorders>
              <w:tl2br w:val="nil"/>
              <w:tr2bl w:val="nil"/>
            </w:tcBorders>
            <w:noWrap w:val="0"/>
            <w:vAlign w:val="center"/>
          </w:tcPr>
          <w:p>
            <w:pPr>
              <w:pStyle w:val="23"/>
              <w:bidi w:val="0"/>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6" w:type="pct"/>
            <w:tcBorders>
              <w:tl2br w:val="nil"/>
              <w:tr2bl w:val="nil"/>
            </w:tcBorders>
            <w:noWrap w:val="0"/>
            <w:vAlign w:val="center"/>
          </w:tcPr>
          <w:p>
            <w:pPr>
              <w:pStyle w:val="23"/>
              <w:bidi w:val="0"/>
            </w:pPr>
            <w:r>
              <w:t>3.1</w:t>
            </w:r>
          </w:p>
        </w:tc>
        <w:tc>
          <w:tcPr>
            <w:tcW w:w="1220" w:type="pct"/>
            <w:gridSpan w:val="3"/>
            <w:tcBorders>
              <w:tl2br w:val="nil"/>
              <w:tr2bl w:val="nil"/>
            </w:tcBorders>
            <w:noWrap w:val="0"/>
            <w:vAlign w:val="center"/>
          </w:tcPr>
          <w:p>
            <w:pPr>
              <w:pStyle w:val="23"/>
              <w:bidi w:val="0"/>
            </w:pPr>
            <w:r>
              <w:t>地上建筑面积</w:t>
            </w:r>
          </w:p>
        </w:tc>
        <w:tc>
          <w:tcPr>
            <w:tcW w:w="1421" w:type="pct"/>
            <w:tcBorders>
              <w:tl2br w:val="nil"/>
              <w:tr2bl w:val="nil"/>
            </w:tcBorders>
            <w:noWrap w:val="0"/>
            <w:vAlign w:val="center"/>
          </w:tcPr>
          <w:p>
            <w:pPr>
              <w:pStyle w:val="23"/>
              <w:bidi w:val="0"/>
            </w:pPr>
            <w:r>
              <w:t>m</w:t>
            </w:r>
            <w:r>
              <w:rPr>
                <w:vertAlign w:val="superscript"/>
              </w:rPr>
              <w:t>2</w:t>
            </w:r>
          </w:p>
        </w:tc>
        <w:tc>
          <w:tcPr>
            <w:tcW w:w="777" w:type="pct"/>
            <w:tcBorders>
              <w:tl2br w:val="nil"/>
              <w:tr2bl w:val="nil"/>
            </w:tcBorders>
            <w:noWrap w:val="0"/>
            <w:vAlign w:val="center"/>
          </w:tcPr>
          <w:p>
            <w:pPr>
              <w:pStyle w:val="23"/>
              <w:bidi w:val="0"/>
            </w:pPr>
            <w:r>
              <w:t>32225.80</w:t>
            </w:r>
          </w:p>
        </w:tc>
        <w:tc>
          <w:tcPr>
            <w:tcW w:w="1244" w:type="pct"/>
            <w:tcBorders>
              <w:tl2br w:val="nil"/>
              <w:tr2bl w:val="nil"/>
            </w:tcBorders>
            <w:noWrap w:val="0"/>
            <w:vAlign w:val="center"/>
          </w:tcPr>
          <w:p>
            <w:pPr>
              <w:pStyle w:val="23"/>
              <w:bidi w:val="0"/>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6" w:type="pct"/>
            <w:tcBorders>
              <w:tl2br w:val="nil"/>
              <w:tr2bl w:val="nil"/>
            </w:tcBorders>
            <w:noWrap w:val="0"/>
            <w:vAlign w:val="center"/>
          </w:tcPr>
          <w:p>
            <w:pPr>
              <w:pStyle w:val="23"/>
              <w:bidi w:val="0"/>
            </w:pPr>
            <w:r>
              <w:t>3.2</w:t>
            </w:r>
          </w:p>
        </w:tc>
        <w:tc>
          <w:tcPr>
            <w:tcW w:w="1220" w:type="pct"/>
            <w:gridSpan w:val="3"/>
            <w:tcBorders>
              <w:tl2br w:val="nil"/>
              <w:tr2bl w:val="nil"/>
            </w:tcBorders>
            <w:noWrap w:val="0"/>
            <w:vAlign w:val="center"/>
          </w:tcPr>
          <w:p>
            <w:pPr>
              <w:pStyle w:val="23"/>
              <w:bidi w:val="0"/>
            </w:pPr>
            <w:r>
              <w:t>地下建筑面积</w:t>
            </w:r>
          </w:p>
        </w:tc>
        <w:tc>
          <w:tcPr>
            <w:tcW w:w="1421" w:type="pct"/>
            <w:tcBorders>
              <w:tl2br w:val="nil"/>
              <w:tr2bl w:val="nil"/>
            </w:tcBorders>
            <w:noWrap w:val="0"/>
            <w:vAlign w:val="center"/>
          </w:tcPr>
          <w:p>
            <w:pPr>
              <w:pStyle w:val="23"/>
              <w:bidi w:val="0"/>
            </w:pPr>
            <w:r>
              <w:t>m</w:t>
            </w:r>
            <w:r>
              <w:rPr>
                <w:vertAlign w:val="superscript"/>
              </w:rPr>
              <w:t>2</w:t>
            </w:r>
          </w:p>
        </w:tc>
        <w:tc>
          <w:tcPr>
            <w:tcW w:w="777" w:type="pct"/>
            <w:tcBorders>
              <w:tl2br w:val="nil"/>
              <w:tr2bl w:val="nil"/>
            </w:tcBorders>
            <w:noWrap w:val="0"/>
            <w:vAlign w:val="center"/>
          </w:tcPr>
          <w:p>
            <w:pPr>
              <w:pStyle w:val="23"/>
              <w:bidi w:val="0"/>
            </w:pPr>
            <w:r>
              <w:t>962.41</w:t>
            </w:r>
          </w:p>
        </w:tc>
        <w:tc>
          <w:tcPr>
            <w:tcW w:w="1244" w:type="pct"/>
            <w:tcBorders>
              <w:tl2br w:val="nil"/>
              <w:tr2bl w:val="nil"/>
            </w:tcBorders>
            <w:noWrap w:val="0"/>
            <w:vAlign w:val="center"/>
          </w:tcPr>
          <w:p>
            <w:pPr>
              <w:pStyle w:val="23"/>
              <w:bidi w:val="0"/>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6" w:type="pct"/>
            <w:vMerge w:val="restart"/>
            <w:tcBorders>
              <w:tl2br w:val="nil"/>
              <w:tr2bl w:val="nil"/>
            </w:tcBorders>
            <w:noWrap w:val="0"/>
            <w:vAlign w:val="center"/>
          </w:tcPr>
          <w:p>
            <w:pPr>
              <w:pStyle w:val="23"/>
              <w:bidi w:val="0"/>
            </w:pPr>
            <w:r>
              <w:t>4</w:t>
            </w:r>
          </w:p>
        </w:tc>
        <w:tc>
          <w:tcPr>
            <w:tcW w:w="473" w:type="pct"/>
            <w:vMerge w:val="restart"/>
            <w:tcBorders>
              <w:tl2br w:val="nil"/>
              <w:tr2bl w:val="nil"/>
            </w:tcBorders>
            <w:noWrap w:val="0"/>
            <w:vAlign w:val="center"/>
          </w:tcPr>
          <w:p>
            <w:pPr>
              <w:pStyle w:val="23"/>
              <w:bidi w:val="0"/>
            </w:pPr>
            <w:r>
              <w:t>车位</w:t>
            </w:r>
          </w:p>
        </w:tc>
        <w:tc>
          <w:tcPr>
            <w:tcW w:w="747" w:type="pct"/>
            <w:gridSpan w:val="2"/>
            <w:tcBorders>
              <w:tl2br w:val="nil"/>
              <w:tr2bl w:val="nil"/>
            </w:tcBorders>
            <w:noWrap w:val="0"/>
            <w:vAlign w:val="center"/>
          </w:tcPr>
          <w:p>
            <w:pPr>
              <w:pStyle w:val="23"/>
              <w:bidi w:val="0"/>
            </w:pPr>
            <w:r>
              <w:rPr>
                <w:rFonts w:hint="eastAsia"/>
              </w:rPr>
              <w:t>机动车</w:t>
            </w:r>
          </w:p>
        </w:tc>
        <w:tc>
          <w:tcPr>
            <w:tcW w:w="1421" w:type="pct"/>
            <w:tcBorders>
              <w:tl2br w:val="nil"/>
              <w:tr2bl w:val="nil"/>
            </w:tcBorders>
            <w:noWrap w:val="0"/>
            <w:vAlign w:val="center"/>
          </w:tcPr>
          <w:p>
            <w:pPr>
              <w:pStyle w:val="23"/>
              <w:bidi w:val="0"/>
            </w:pPr>
            <w:r>
              <w:t>辆</w:t>
            </w:r>
          </w:p>
        </w:tc>
        <w:tc>
          <w:tcPr>
            <w:tcW w:w="777" w:type="pct"/>
            <w:tcBorders>
              <w:tl2br w:val="nil"/>
              <w:tr2bl w:val="nil"/>
            </w:tcBorders>
            <w:noWrap w:val="0"/>
            <w:vAlign w:val="center"/>
          </w:tcPr>
          <w:p>
            <w:pPr>
              <w:pStyle w:val="23"/>
              <w:bidi w:val="0"/>
            </w:pPr>
            <w:r>
              <w:rPr>
                <w:rFonts w:hint="eastAsia"/>
              </w:rPr>
              <w:t>90</w:t>
            </w:r>
          </w:p>
        </w:tc>
        <w:tc>
          <w:tcPr>
            <w:tcW w:w="1244" w:type="pct"/>
            <w:vMerge w:val="restart"/>
            <w:tcBorders>
              <w:tl2br w:val="nil"/>
              <w:tr2bl w:val="nil"/>
            </w:tcBorders>
            <w:noWrap w:val="0"/>
            <w:vAlign w:val="center"/>
          </w:tcPr>
          <w:p>
            <w:pPr>
              <w:pStyle w:val="23"/>
              <w:bidi w:val="0"/>
            </w:pPr>
            <w:r>
              <w:rPr>
                <w:rFonts w:hint="eastAsia"/>
              </w:rPr>
              <w:t>均为地面停车位</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6" w:type="pct"/>
            <w:vMerge w:val="continue"/>
            <w:tcBorders>
              <w:tl2br w:val="nil"/>
              <w:tr2bl w:val="nil"/>
            </w:tcBorders>
            <w:noWrap w:val="0"/>
            <w:vAlign w:val="center"/>
          </w:tcPr>
          <w:p>
            <w:pPr>
              <w:pStyle w:val="23"/>
              <w:bidi w:val="0"/>
            </w:pPr>
          </w:p>
        </w:tc>
        <w:tc>
          <w:tcPr>
            <w:tcW w:w="473" w:type="pct"/>
            <w:vMerge w:val="continue"/>
            <w:tcBorders>
              <w:tl2br w:val="nil"/>
              <w:tr2bl w:val="nil"/>
            </w:tcBorders>
            <w:noWrap w:val="0"/>
            <w:vAlign w:val="center"/>
          </w:tcPr>
          <w:p>
            <w:pPr>
              <w:pStyle w:val="23"/>
              <w:bidi w:val="0"/>
            </w:pPr>
          </w:p>
        </w:tc>
        <w:tc>
          <w:tcPr>
            <w:tcW w:w="747" w:type="pct"/>
            <w:gridSpan w:val="2"/>
            <w:tcBorders>
              <w:tl2br w:val="nil"/>
              <w:tr2bl w:val="nil"/>
            </w:tcBorders>
            <w:noWrap w:val="0"/>
            <w:vAlign w:val="center"/>
          </w:tcPr>
          <w:p>
            <w:pPr>
              <w:pStyle w:val="23"/>
              <w:bidi w:val="0"/>
            </w:pPr>
            <w:r>
              <w:rPr>
                <w:rFonts w:hint="eastAsia"/>
              </w:rPr>
              <w:t>非机动车</w:t>
            </w:r>
          </w:p>
        </w:tc>
        <w:tc>
          <w:tcPr>
            <w:tcW w:w="1421" w:type="pct"/>
            <w:tcBorders>
              <w:tl2br w:val="nil"/>
              <w:tr2bl w:val="nil"/>
            </w:tcBorders>
            <w:noWrap w:val="0"/>
            <w:vAlign w:val="center"/>
          </w:tcPr>
          <w:p>
            <w:pPr>
              <w:pStyle w:val="23"/>
              <w:bidi w:val="0"/>
            </w:pPr>
            <w:r>
              <w:t>辆</w:t>
            </w:r>
          </w:p>
        </w:tc>
        <w:tc>
          <w:tcPr>
            <w:tcW w:w="777" w:type="pct"/>
            <w:tcBorders>
              <w:tl2br w:val="nil"/>
              <w:tr2bl w:val="nil"/>
            </w:tcBorders>
            <w:noWrap w:val="0"/>
            <w:vAlign w:val="center"/>
          </w:tcPr>
          <w:p>
            <w:pPr>
              <w:pStyle w:val="23"/>
              <w:bidi w:val="0"/>
            </w:pPr>
            <w:r>
              <w:rPr>
                <w:rFonts w:hint="eastAsia"/>
              </w:rPr>
              <w:t>42</w:t>
            </w:r>
          </w:p>
        </w:tc>
        <w:tc>
          <w:tcPr>
            <w:tcW w:w="1244" w:type="pct"/>
            <w:vMerge w:val="continue"/>
            <w:tcBorders>
              <w:tl2br w:val="nil"/>
              <w:tr2bl w:val="nil"/>
            </w:tcBorders>
            <w:noWrap w:val="0"/>
            <w:vAlign w:val="center"/>
          </w:tcPr>
          <w:p>
            <w:pPr>
              <w:pStyle w:val="23"/>
              <w:bidi w:val="0"/>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6" w:type="pct"/>
            <w:tcBorders>
              <w:tl2br w:val="nil"/>
              <w:tr2bl w:val="nil"/>
            </w:tcBorders>
            <w:noWrap w:val="0"/>
            <w:vAlign w:val="center"/>
          </w:tcPr>
          <w:p>
            <w:pPr>
              <w:pStyle w:val="23"/>
              <w:bidi w:val="0"/>
            </w:pPr>
            <w:r>
              <w:rPr>
                <w:rFonts w:hint="eastAsia"/>
              </w:rPr>
              <w:t>5</w:t>
            </w:r>
          </w:p>
        </w:tc>
        <w:tc>
          <w:tcPr>
            <w:tcW w:w="1220" w:type="pct"/>
            <w:gridSpan w:val="3"/>
            <w:tcBorders>
              <w:tl2br w:val="nil"/>
              <w:tr2bl w:val="nil"/>
            </w:tcBorders>
            <w:noWrap w:val="0"/>
            <w:vAlign w:val="center"/>
          </w:tcPr>
          <w:p>
            <w:pPr>
              <w:pStyle w:val="23"/>
              <w:bidi w:val="0"/>
              <w:rPr>
                <w:rFonts w:hint="eastAsia"/>
              </w:rPr>
            </w:pPr>
            <w:r>
              <w:rPr>
                <w:rFonts w:hint="eastAsia"/>
              </w:rPr>
              <w:t>绿地面积</w:t>
            </w:r>
          </w:p>
        </w:tc>
        <w:tc>
          <w:tcPr>
            <w:tcW w:w="1421" w:type="pct"/>
            <w:tcBorders>
              <w:tl2br w:val="nil"/>
              <w:tr2bl w:val="nil"/>
            </w:tcBorders>
            <w:noWrap w:val="0"/>
            <w:vAlign w:val="center"/>
          </w:tcPr>
          <w:p>
            <w:pPr>
              <w:pStyle w:val="23"/>
              <w:bidi w:val="0"/>
            </w:pPr>
            <w:r>
              <w:t>m</w:t>
            </w:r>
            <w:r>
              <w:rPr>
                <w:vertAlign w:val="superscript"/>
              </w:rPr>
              <w:t>2</w:t>
            </w:r>
          </w:p>
        </w:tc>
        <w:tc>
          <w:tcPr>
            <w:tcW w:w="777" w:type="pct"/>
            <w:tcBorders>
              <w:tl2br w:val="nil"/>
              <w:tr2bl w:val="nil"/>
            </w:tcBorders>
            <w:noWrap w:val="0"/>
            <w:vAlign w:val="center"/>
          </w:tcPr>
          <w:p>
            <w:pPr>
              <w:pStyle w:val="23"/>
              <w:bidi w:val="0"/>
              <w:rPr>
                <w:rFonts w:hint="eastAsia"/>
              </w:rPr>
            </w:pPr>
            <w:r>
              <w:rPr>
                <w:rFonts w:hint="eastAsia"/>
              </w:rPr>
              <w:t>2078.53</w:t>
            </w:r>
          </w:p>
        </w:tc>
        <w:tc>
          <w:tcPr>
            <w:tcW w:w="1244" w:type="pct"/>
            <w:tcBorders>
              <w:tl2br w:val="nil"/>
              <w:tr2bl w:val="nil"/>
            </w:tcBorders>
            <w:noWrap w:val="0"/>
            <w:vAlign w:val="center"/>
          </w:tcPr>
          <w:p>
            <w:pPr>
              <w:pStyle w:val="23"/>
              <w:bidi w:val="0"/>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6" w:type="pct"/>
            <w:tcBorders>
              <w:tl2br w:val="nil"/>
              <w:tr2bl w:val="nil"/>
            </w:tcBorders>
            <w:noWrap w:val="0"/>
            <w:vAlign w:val="center"/>
          </w:tcPr>
          <w:p>
            <w:pPr>
              <w:pStyle w:val="23"/>
              <w:bidi w:val="0"/>
            </w:pPr>
            <w:r>
              <w:t>6</w:t>
            </w:r>
          </w:p>
        </w:tc>
        <w:tc>
          <w:tcPr>
            <w:tcW w:w="1220" w:type="pct"/>
            <w:gridSpan w:val="3"/>
            <w:tcBorders>
              <w:tl2br w:val="nil"/>
              <w:tr2bl w:val="nil"/>
            </w:tcBorders>
            <w:noWrap w:val="0"/>
            <w:vAlign w:val="center"/>
          </w:tcPr>
          <w:p>
            <w:pPr>
              <w:pStyle w:val="23"/>
              <w:bidi w:val="0"/>
            </w:pPr>
            <w:r>
              <w:t>绿地率</w:t>
            </w:r>
          </w:p>
        </w:tc>
        <w:tc>
          <w:tcPr>
            <w:tcW w:w="1421" w:type="pct"/>
            <w:tcBorders>
              <w:tl2br w:val="nil"/>
              <w:tr2bl w:val="nil"/>
            </w:tcBorders>
            <w:noWrap w:val="0"/>
            <w:vAlign w:val="center"/>
          </w:tcPr>
          <w:p>
            <w:pPr>
              <w:pStyle w:val="23"/>
              <w:bidi w:val="0"/>
            </w:pPr>
            <w:r>
              <w:t>%</w:t>
            </w:r>
          </w:p>
        </w:tc>
        <w:tc>
          <w:tcPr>
            <w:tcW w:w="777" w:type="pct"/>
            <w:tcBorders>
              <w:tl2br w:val="nil"/>
              <w:tr2bl w:val="nil"/>
            </w:tcBorders>
            <w:noWrap w:val="0"/>
            <w:vAlign w:val="center"/>
          </w:tcPr>
          <w:p>
            <w:pPr>
              <w:pStyle w:val="23"/>
              <w:bidi w:val="0"/>
            </w:pPr>
            <w:r>
              <w:rPr>
                <w:rFonts w:hint="eastAsia"/>
              </w:rPr>
              <w:t>4.67</w:t>
            </w:r>
          </w:p>
        </w:tc>
        <w:tc>
          <w:tcPr>
            <w:tcW w:w="1244" w:type="pct"/>
            <w:tcBorders>
              <w:tl2br w:val="nil"/>
              <w:tr2bl w:val="nil"/>
            </w:tcBorders>
            <w:noWrap w:val="0"/>
            <w:vAlign w:val="center"/>
          </w:tcPr>
          <w:p>
            <w:pPr>
              <w:pStyle w:val="23"/>
              <w:bidi w:val="0"/>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6" w:type="pct"/>
            <w:tcBorders>
              <w:tl2br w:val="nil"/>
              <w:tr2bl w:val="nil"/>
            </w:tcBorders>
            <w:noWrap w:val="0"/>
            <w:vAlign w:val="center"/>
          </w:tcPr>
          <w:p>
            <w:pPr>
              <w:pStyle w:val="23"/>
              <w:bidi w:val="0"/>
            </w:pPr>
            <w:r>
              <w:t>7</w:t>
            </w:r>
          </w:p>
        </w:tc>
        <w:tc>
          <w:tcPr>
            <w:tcW w:w="1220" w:type="pct"/>
            <w:gridSpan w:val="3"/>
            <w:tcBorders>
              <w:tl2br w:val="nil"/>
              <w:tr2bl w:val="nil"/>
            </w:tcBorders>
            <w:noWrap w:val="0"/>
            <w:vAlign w:val="center"/>
          </w:tcPr>
          <w:p>
            <w:pPr>
              <w:pStyle w:val="23"/>
              <w:bidi w:val="0"/>
            </w:pPr>
            <w:r>
              <w:t>建筑</w:t>
            </w:r>
            <w:r>
              <w:rPr>
                <w:rFonts w:hint="eastAsia"/>
              </w:rPr>
              <w:t>系数</w:t>
            </w:r>
          </w:p>
        </w:tc>
        <w:tc>
          <w:tcPr>
            <w:tcW w:w="1421" w:type="pct"/>
            <w:tcBorders>
              <w:tl2br w:val="nil"/>
              <w:tr2bl w:val="nil"/>
            </w:tcBorders>
            <w:noWrap w:val="0"/>
            <w:vAlign w:val="center"/>
          </w:tcPr>
          <w:p>
            <w:pPr>
              <w:pStyle w:val="23"/>
              <w:bidi w:val="0"/>
            </w:pPr>
            <w:r>
              <w:t>%</w:t>
            </w:r>
          </w:p>
        </w:tc>
        <w:tc>
          <w:tcPr>
            <w:tcW w:w="777" w:type="pct"/>
            <w:tcBorders>
              <w:tl2br w:val="nil"/>
              <w:tr2bl w:val="nil"/>
            </w:tcBorders>
            <w:noWrap w:val="0"/>
            <w:vAlign w:val="center"/>
          </w:tcPr>
          <w:p>
            <w:pPr>
              <w:pStyle w:val="23"/>
              <w:bidi w:val="0"/>
            </w:pPr>
            <w:r>
              <w:rPr>
                <w:rFonts w:hint="eastAsia"/>
              </w:rPr>
              <w:t>62.28</w:t>
            </w:r>
          </w:p>
        </w:tc>
        <w:tc>
          <w:tcPr>
            <w:tcW w:w="1244" w:type="pct"/>
            <w:tcBorders>
              <w:tl2br w:val="nil"/>
              <w:tr2bl w:val="nil"/>
            </w:tcBorders>
            <w:noWrap w:val="0"/>
            <w:vAlign w:val="center"/>
          </w:tcPr>
          <w:p>
            <w:pPr>
              <w:pStyle w:val="23"/>
              <w:bidi w:val="0"/>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6" w:type="pct"/>
            <w:tcBorders>
              <w:tl2br w:val="nil"/>
              <w:tr2bl w:val="nil"/>
            </w:tcBorders>
            <w:noWrap w:val="0"/>
            <w:vAlign w:val="center"/>
          </w:tcPr>
          <w:p>
            <w:pPr>
              <w:pStyle w:val="23"/>
              <w:bidi w:val="0"/>
            </w:pPr>
            <w:r>
              <w:t>8</w:t>
            </w:r>
          </w:p>
        </w:tc>
        <w:tc>
          <w:tcPr>
            <w:tcW w:w="1220" w:type="pct"/>
            <w:gridSpan w:val="3"/>
            <w:tcBorders>
              <w:tl2br w:val="nil"/>
              <w:tr2bl w:val="nil"/>
            </w:tcBorders>
            <w:noWrap w:val="0"/>
            <w:vAlign w:val="center"/>
          </w:tcPr>
          <w:p>
            <w:pPr>
              <w:pStyle w:val="23"/>
              <w:bidi w:val="0"/>
            </w:pPr>
            <w:r>
              <w:t>容积率</w:t>
            </w:r>
          </w:p>
        </w:tc>
        <w:tc>
          <w:tcPr>
            <w:tcW w:w="1421" w:type="pct"/>
            <w:tcBorders>
              <w:tl2br w:val="nil"/>
              <w:tr2bl w:val="nil"/>
            </w:tcBorders>
            <w:noWrap w:val="0"/>
            <w:vAlign w:val="center"/>
          </w:tcPr>
          <w:p>
            <w:pPr>
              <w:pStyle w:val="23"/>
              <w:bidi w:val="0"/>
            </w:pPr>
          </w:p>
        </w:tc>
        <w:tc>
          <w:tcPr>
            <w:tcW w:w="777" w:type="pct"/>
            <w:tcBorders>
              <w:tl2br w:val="nil"/>
              <w:tr2bl w:val="nil"/>
            </w:tcBorders>
            <w:noWrap w:val="0"/>
            <w:vAlign w:val="center"/>
          </w:tcPr>
          <w:p>
            <w:pPr>
              <w:pStyle w:val="23"/>
              <w:bidi w:val="0"/>
            </w:pPr>
            <w:r>
              <w:rPr>
                <w:rFonts w:hint="eastAsia"/>
              </w:rPr>
              <w:t>1.27</w:t>
            </w:r>
          </w:p>
        </w:tc>
        <w:tc>
          <w:tcPr>
            <w:tcW w:w="1244" w:type="pct"/>
            <w:tcBorders>
              <w:tl2br w:val="nil"/>
              <w:tr2bl w:val="nil"/>
            </w:tcBorders>
            <w:noWrap w:val="0"/>
            <w:vAlign w:val="center"/>
          </w:tcPr>
          <w:p>
            <w:pPr>
              <w:pStyle w:val="23"/>
              <w:bidi w:val="0"/>
            </w:pPr>
          </w:p>
        </w:tc>
      </w:tr>
    </w:tbl>
    <w:p>
      <w:pPr>
        <w:pStyle w:val="5"/>
        <w:rPr>
          <w:rFonts w:cs="Times New Roman"/>
        </w:rPr>
      </w:pPr>
      <w:r>
        <w:rPr>
          <w:rFonts w:cs="Times New Roman"/>
        </w:rPr>
        <w:t>项目组成</w:t>
      </w:r>
    </w:p>
    <w:p>
      <w:pPr>
        <w:ind w:firstLine="480"/>
        <w:rPr>
          <w:rFonts w:cs="Times New Roman"/>
        </w:rPr>
      </w:pPr>
      <w:r>
        <w:rPr>
          <w:rFonts w:hint="eastAsia" w:cs="Times New Roman"/>
        </w:rPr>
        <w:t>根据现场实际资料，</w:t>
      </w:r>
      <w:r>
        <w:rPr>
          <w:rFonts w:hint="eastAsia" w:cs="Times New Roman"/>
          <w:lang w:eastAsia="zh-CN"/>
        </w:rPr>
        <w:t>上海千缘汽车车身模具有限公司关于汽车零部件制造的项目</w:t>
      </w:r>
      <w:r>
        <w:rPr>
          <w:rFonts w:hint="eastAsia" w:cs="Times New Roman"/>
        </w:rPr>
        <w:t>项目为新建建设项目，主要建构筑物</w:t>
      </w:r>
      <w:r>
        <w:rPr>
          <w:rFonts w:hint="eastAsia" w:cs="Times New Roman"/>
          <w:lang w:val="en-US" w:eastAsia="zh-CN"/>
        </w:rPr>
        <w:t>工程</w:t>
      </w:r>
      <w:r>
        <w:rPr>
          <w:rFonts w:hint="eastAsia" w:cs="Times New Roman"/>
        </w:rPr>
        <w:t>、道路及硬化工程、绿化工程等组成。</w:t>
      </w:r>
      <w:r>
        <w:rPr>
          <w:rFonts w:cs="Times New Roman"/>
        </w:rPr>
        <w:t>本工程项目组成详见表1.1-</w:t>
      </w:r>
      <w:r>
        <w:rPr>
          <w:rFonts w:hint="eastAsia" w:cs="Times New Roman"/>
        </w:rPr>
        <w:t>2</w:t>
      </w:r>
      <w:r>
        <w:rPr>
          <w:rFonts w:cs="Times New Roman"/>
        </w:rPr>
        <w:t>。</w:t>
      </w:r>
    </w:p>
    <w:p>
      <w:pPr>
        <w:pStyle w:val="6"/>
        <w:spacing w:before="156" w:after="156"/>
        <w:rPr>
          <w:rFonts w:cs="Times New Roman"/>
        </w:rPr>
      </w:pPr>
      <w:r>
        <w:rPr>
          <w:rFonts w:cs="Times New Roman"/>
        </w:rPr>
        <w:t xml:space="preserve">表 </w:t>
      </w:r>
      <w:r>
        <w:rPr>
          <w:rFonts w:cs="Times New Roman"/>
        </w:rPr>
        <w:fldChar w:fldCharType="begin"/>
      </w:r>
      <w:r>
        <w:rPr>
          <w:rFonts w:cs="Times New Roman"/>
        </w:rPr>
        <w:instrText xml:space="preserve"> STYLEREF 2 \s </w:instrText>
      </w:r>
      <w:r>
        <w:rPr>
          <w:rFonts w:cs="Times New Roman"/>
        </w:rPr>
        <w:fldChar w:fldCharType="separate"/>
      </w:r>
      <w:r>
        <w:rPr>
          <w:rFonts w:cs="Times New Roman"/>
        </w:rPr>
        <w:t>1.1</w:t>
      </w:r>
      <w:r>
        <w:rPr>
          <w:rFonts w:cs="Times New Roman"/>
        </w:rPr>
        <w:fldChar w:fldCharType="end"/>
      </w:r>
      <w:r>
        <w:rPr>
          <w:rFonts w:cs="Times New Roman"/>
        </w:rPr>
        <w:noBreakHyphen/>
      </w:r>
      <w:r>
        <w:rPr>
          <w:rFonts w:hint="eastAsia" w:cs="Times New Roman"/>
        </w:rPr>
        <w:t>2</w:t>
      </w:r>
      <w:r>
        <w:rPr>
          <w:rFonts w:cs="Times New Roman"/>
        </w:rPr>
        <w:t xml:space="preserve"> 项目组成表</w:t>
      </w:r>
    </w:p>
    <w:tbl>
      <w:tblPr>
        <w:tblStyle w:val="13"/>
        <w:tblW w:w="4997"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autofit"/>
        <w:tblCellMar>
          <w:top w:w="0" w:type="dxa"/>
          <w:left w:w="0" w:type="dxa"/>
          <w:bottom w:w="0" w:type="dxa"/>
          <w:right w:w="0" w:type="dxa"/>
        </w:tblCellMar>
      </w:tblPr>
      <w:tblGrid>
        <w:gridCol w:w="526"/>
        <w:gridCol w:w="3885"/>
        <w:gridCol w:w="3903"/>
        <w:gridCol w:w="781"/>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5" w:hRule="atLeast"/>
          <w:jc w:val="center"/>
        </w:trPr>
        <w:tc>
          <w:tcPr>
            <w:tcW w:w="289" w:type="pct"/>
            <w:tcBorders>
              <w:tl2br w:val="nil"/>
              <w:tr2bl w:val="nil"/>
            </w:tcBorders>
            <w:shd w:val="clear" w:color="auto" w:fill="auto"/>
            <w:tcMar>
              <w:top w:w="15" w:type="dxa"/>
              <w:left w:w="15" w:type="dxa"/>
              <w:right w:w="15" w:type="dxa"/>
            </w:tcMar>
            <w:vAlign w:val="center"/>
          </w:tcPr>
          <w:p>
            <w:pPr>
              <w:pStyle w:val="23"/>
              <w:bidi w:val="0"/>
              <w:jc w:val="center"/>
              <w:rPr>
                <w:rFonts w:hint="default"/>
              </w:rPr>
            </w:pPr>
            <w:r>
              <w:rPr>
                <w:rFonts w:hint="default"/>
                <w:lang w:val="en-US" w:eastAsia="zh-CN"/>
              </w:rPr>
              <w:t>项目</w:t>
            </w:r>
          </w:p>
        </w:tc>
        <w:tc>
          <w:tcPr>
            <w:tcW w:w="2135" w:type="pct"/>
            <w:tcBorders>
              <w:tl2br w:val="nil"/>
              <w:tr2bl w:val="nil"/>
            </w:tcBorders>
            <w:shd w:val="clear" w:color="auto" w:fill="auto"/>
            <w:tcMar>
              <w:top w:w="15" w:type="dxa"/>
              <w:left w:w="15" w:type="dxa"/>
              <w:right w:w="15" w:type="dxa"/>
            </w:tcMar>
            <w:vAlign w:val="center"/>
          </w:tcPr>
          <w:p>
            <w:pPr>
              <w:pStyle w:val="23"/>
              <w:bidi w:val="0"/>
              <w:jc w:val="center"/>
            </w:pPr>
            <w:r>
              <w:rPr>
                <w:rFonts w:hint="eastAsia"/>
                <w:lang w:val="en-US" w:eastAsia="zh-CN"/>
              </w:rPr>
              <w:t>设计阶段</w:t>
            </w:r>
          </w:p>
        </w:tc>
        <w:tc>
          <w:tcPr>
            <w:tcW w:w="2145" w:type="pct"/>
            <w:tcBorders>
              <w:tl2br w:val="nil"/>
              <w:tr2bl w:val="nil"/>
            </w:tcBorders>
            <w:shd w:val="clear" w:color="auto" w:fill="auto"/>
            <w:tcMar>
              <w:top w:w="15" w:type="dxa"/>
              <w:left w:w="15" w:type="dxa"/>
              <w:right w:w="15" w:type="dxa"/>
            </w:tcMar>
            <w:vAlign w:val="center"/>
          </w:tcPr>
          <w:p>
            <w:pPr>
              <w:pStyle w:val="23"/>
              <w:bidi w:val="0"/>
              <w:jc w:val="center"/>
              <w:rPr>
                <w:rFonts w:hint="eastAsia"/>
              </w:rPr>
            </w:pPr>
            <w:r>
              <w:rPr>
                <w:rFonts w:hint="eastAsia"/>
                <w:lang w:val="en-US" w:eastAsia="zh-CN"/>
              </w:rPr>
              <w:t>验收阶段</w:t>
            </w:r>
          </w:p>
        </w:tc>
        <w:tc>
          <w:tcPr>
            <w:tcW w:w="429" w:type="pct"/>
            <w:tcBorders>
              <w:tl2br w:val="nil"/>
              <w:tr2bl w:val="nil"/>
            </w:tcBorders>
            <w:shd w:val="clear" w:color="auto" w:fill="auto"/>
            <w:tcMar>
              <w:top w:w="15" w:type="dxa"/>
              <w:left w:w="15" w:type="dxa"/>
              <w:right w:w="15" w:type="dxa"/>
            </w:tcMar>
            <w:vAlign w:val="center"/>
          </w:tcPr>
          <w:p>
            <w:pPr>
              <w:pStyle w:val="23"/>
              <w:bidi w:val="0"/>
              <w:jc w:val="center"/>
              <w:rPr>
                <w:rFonts w:hint="eastAsia"/>
              </w:rPr>
            </w:pPr>
            <w:r>
              <w:rPr>
                <w:rFonts w:hint="eastAsia"/>
                <w:lang w:val="en-US" w:eastAsia="zh-CN"/>
              </w:rPr>
              <w:t>变化情况</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1155" w:hRule="atLeast"/>
          <w:jc w:val="center"/>
        </w:trPr>
        <w:tc>
          <w:tcPr>
            <w:tcW w:w="289" w:type="pct"/>
            <w:tcBorders>
              <w:tl2br w:val="nil"/>
              <w:tr2bl w:val="nil"/>
            </w:tcBorders>
            <w:shd w:val="clear" w:color="auto" w:fill="auto"/>
            <w:tcMar>
              <w:top w:w="15" w:type="dxa"/>
              <w:left w:w="15" w:type="dxa"/>
              <w:right w:w="15" w:type="dxa"/>
            </w:tcMar>
            <w:vAlign w:val="center"/>
          </w:tcPr>
          <w:p>
            <w:pPr>
              <w:pStyle w:val="23"/>
              <w:bidi w:val="0"/>
              <w:jc w:val="center"/>
              <w:rPr>
                <w:rFonts w:hint="default"/>
              </w:rPr>
            </w:pPr>
            <w:r>
              <w:rPr>
                <w:rFonts w:hint="default"/>
                <w:lang w:val="en-US" w:eastAsia="zh-CN"/>
              </w:rPr>
              <w:t>建构筑物工程</w:t>
            </w:r>
          </w:p>
        </w:tc>
        <w:tc>
          <w:tcPr>
            <w:tcW w:w="2135" w:type="pct"/>
            <w:tcBorders>
              <w:tl2br w:val="nil"/>
              <w:tr2bl w:val="nil"/>
            </w:tcBorders>
            <w:shd w:val="clear" w:color="auto" w:fill="auto"/>
            <w:tcMar>
              <w:top w:w="15" w:type="dxa"/>
              <w:left w:w="15" w:type="dxa"/>
              <w:right w:w="15" w:type="dxa"/>
            </w:tcMar>
            <w:vAlign w:val="center"/>
          </w:tcPr>
          <w:p>
            <w:pPr>
              <w:pStyle w:val="23"/>
              <w:bidi w:val="0"/>
              <w:jc w:val="center"/>
              <w:rPr>
                <w:rFonts w:hint="eastAsia"/>
              </w:rPr>
            </w:pPr>
            <w:r>
              <w:rPr>
                <w:rFonts w:hint="eastAsia"/>
                <w:lang w:val="en-US" w:eastAsia="zh-CN"/>
              </w:rPr>
              <w:t>建构筑物工程包括生产用房、辅助用房及地下建筑，总建筑面积33222.37m</w:t>
            </w:r>
            <w:r>
              <w:rPr>
                <w:rFonts w:hint="eastAsia"/>
                <w:vertAlign w:val="superscript"/>
                <w:lang w:val="en-US" w:eastAsia="zh-CN"/>
              </w:rPr>
              <w:t>2</w:t>
            </w:r>
            <w:r>
              <w:rPr>
                <w:rFonts w:hint="eastAsia"/>
                <w:lang w:val="en-US" w:eastAsia="zh-CN"/>
              </w:rPr>
              <w:t>（其中地下建筑面积962.41m</w:t>
            </w:r>
            <w:r>
              <w:rPr>
                <w:rFonts w:hint="eastAsia"/>
                <w:vertAlign w:val="superscript"/>
                <w:lang w:val="en-US" w:eastAsia="zh-CN"/>
              </w:rPr>
              <w:t>2</w:t>
            </w:r>
            <w:r>
              <w:rPr>
                <w:rFonts w:hint="eastAsia"/>
                <w:lang w:val="en-US" w:eastAsia="zh-CN"/>
              </w:rPr>
              <w:t>），综合容积率为1.27，建筑密度62.28%。其中生产车间采用多层工业厂房，结构形式为钢结构，包括了8座车间（含两座辅车间）；辅助用房则包括办公场所、配电室、门卫等，为框架结构，2F~3F；地下总建筑面积为962.41m</w:t>
            </w:r>
            <w:r>
              <w:rPr>
                <w:rFonts w:hint="eastAsia"/>
                <w:vertAlign w:val="superscript"/>
                <w:lang w:val="en-US" w:eastAsia="zh-CN"/>
              </w:rPr>
              <w:t>2</w:t>
            </w:r>
            <w:r>
              <w:rPr>
                <w:rFonts w:hint="eastAsia"/>
                <w:lang w:val="en-US" w:eastAsia="zh-CN"/>
              </w:rPr>
              <w:t>，包括地下蓄水池、消防水池、泵房及发电机房等，泵房及放电机房层高3m，蓄水池及消防水池深2m</w:t>
            </w:r>
          </w:p>
        </w:tc>
        <w:tc>
          <w:tcPr>
            <w:tcW w:w="2145" w:type="pct"/>
            <w:tcBorders>
              <w:tl2br w:val="nil"/>
              <w:tr2bl w:val="nil"/>
            </w:tcBorders>
            <w:shd w:val="clear" w:color="auto" w:fill="auto"/>
            <w:tcMar>
              <w:top w:w="15" w:type="dxa"/>
              <w:left w:w="15" w:type="dxa"/>
              <w:right w:w="15" w:type="dxa"/>
            </w:tcMar>
            <w:vAlign w:val="center"/>
          </w:tcPr>
          <w:p>
            <w:pPr>
              <w:pStyle w:val="23"/>
              <w:bidi w:val="0"/>
              <w:jc w:val="center"/>
              <w:rPr>
                <w:rFonts w:hint="eastAsia"/>
              </w:rPr>
            </w:pPr>
            <w:r>
              <w:rPr>
                <w:rFonts w:hint="eastAsia"/>
                <w:lang w:val="en-US" w:eastAsia="zh-CN"/>
              </w:rPr>
              <w:t>建构筑物工程包括生产用房、辅助用房及地下建筑，总建筑面积33222.37m</w:t>
            </w:r>
            <w:r>
              <w:rPr>
                <w:rFonts w:hint="eastAsia"/>
                <w:vertAlign w:val="superscript"/>
                <w:lang w:val="en-US" w:eastAsia="zh-CN"/>
              </w:rPr>
              <w:t>2</w:t>
            </w:r>
            <w:r>
              <w:rPr>
                <w:rFonts w:hint="eastAsia"/>
                <w:lang w:val="en-US" w:eastAsia="zh-CN"/>
              </w:rPr>
              <w:t>（其中地下建筑面积962.41m</w:t>
            </w:r>
            <w:r>
              <w:rPr>
                <w:rFonts w:hint="eastAsia"/>
                <w:vertAlign w:val="superscript"/>
                <w:lang w:val="en-US" w:eastAsia="zh-CN"/>
              </w:rPr>
              <w:t>2</w:t>
            </w:r>
            <w:r>
              <w:rPr>
                <w:rFonts w:hint="eastAsia"/>
                <w:lang w:val="en-US" w:eastAsia="zh-CN"/>
              </w:rPr>
              <w:t>），综合容积率为1.27，建筑密度62.28%。其中生产车间采用多层工业厂房，结构形式为钢结构，包括了8座车间（含两座辅车间）；辅助用房则包括办公场所、配电室、门卫等，为框架结构，2F~3F；地下总建筑面积为962.41m</w:t>
            </w:r>
            <w:r>
              <w:rPr>
                <w:rFonts w:hint="eastAsia"/>
                <w:vertAlign w:val="superscript"/>
                <w:lang w:val="en-US" w:eastAsia="zh-CN"/>
              </w:rPr>
              <w:t>2</w:t>
            </w:r>
            <w:r>
              <w:rPr>
                <w:rFonts w:hint="eastAsia"/>
                <w:lang w:val="en-US" w:eastAsia="zh-CN"/>
              </w:rPr>
              <w:t>，包括地下蓄水池、消防水池、泵房及发电机房等，泵房及放电机房层高3m，蓄水池及消防水池深2m</w:t>
            </w:r>
          </w:p>
        </w:tc>
        <w:tc>
          <w:tcPr>
            <w:tcW w:w="429" w:type="pct"/>
            <w:tcBorders>
              <w:tl2br w:val="nil"/>
              <w:tr2bl w:val="nil"/>
            </w:tcBorders>
            <w:shd w:val="clear" w:color="auto" w:fill="auto"/>
            <w:tcMar>
              <w:top w:w="15" w:type="dxa"/>
              <w:left w:w="15" w:type="dxa"/>
              <w:right w:w="15" w:type="dxa"/>
            </w:tcMar>
            <w:vAlign w:val="center"/>
          </w:tcPr>
          <w:p>
            <w:pPr>
              <w:pStyle w:val="23"/>
              <w:bidi w:val="0"/>
              <w:jc w:val="center"/>
              <w:rPr>
                <w:rFonts w:hint="eastAsia"/>
              </w:rPr>
            </w:pPr>
            <w:r>
              <w:rPr>
                <w:rFonts w:hint="eastAsia"/>
                <w:lang w:val="en-US" w:eastAsia="zh-CN"/>
              </w:rPr>
              <w:t>基本</w:t>
            </w:r>
            <w:r>
              <w:rPr>
                <w:lang w:val="en-US" w:eastAsia="zh-CN"/>
              </w:rPr>
              <w:t>无变化</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1365" w:hRule="atLeast"/>
          <w:jc w:val="center"/>
        </w:trPr>
        <w:tc>
          <w:tcPr>
            <w:tcW w:w="289" w:type="pct"/>
            <w:tcBorders>
              <w:tl2br w:val="nil"/>
              <w:tr2bl w:val="nil"/>
            </w:tcBorders>
            <w:shd w:val="clear" w:color="auto" w:fill="auto"/>
            <w:tcMar>
              <w:top w:w="15" w:type="dxa"/>
              <w:left w:w="15" w:type="dxa"/>
              <w:right w:w="15" w:type="dxa"/>
            </w:tcMar>
            <w:vAlign w:val="center"/>
          </w:tcPr>
          <w:p>
            <w:pPr>
              <w:pStyle w:val="23"/>
              <w:bidi w:val="0"/>
              <w:jc w:val="center"/>
              <w:rPr>
                <w:rFonts w:hint="default"/>
              </w:rPr>
            </w:pPr>
            <w:r>
              <w:rPr>
                <w:rFonts w:hint="default"/>
                <w:lang w:val="en-US" w:eastAsia="zh-CN"/>
              </w:rPr>
              <w:t>道路及硬化工程</w:t>
            </w:r>
          </w:p>
        </w:tc>
        <w:tc>
          <w:tcPr>
            <w:tcW w:w="2135" w:type="pct"/>
            <w:tcBorders>
              <w:tl2br w:val="nil"/>
              <w:tr2bl w:val="nil"/>
            </w:tcBorders>
            <w:shd w:val="clear" w:color="auto" w:fill="auto"/>
            <w:tcMar>
              <w:top w:w="15" w:type="dxa"/>
              <w:left w:w="15" w:type="dxa"/>
              <w:right w:w="15" w:type="dxa"/>
            </w:tcMar>
            <w:vAlign w:val="center"/>
          </w:tcPr>
          <w:p>
            <w:pPr>
              <w:pStyle w:val="23"/>
              <w:bidi w:val="0"/>
              <w:jc w:val="center"/>
              <w:rPr>
                <w:rFonts w:hint="eastAsia"/>
              </w:rPr>
            </w:pPr>
            <w:r>
              <w:rPr>
                <w:rFonts w:hint="eastAsia"/>
                <w:lang w:val="en-US" w:eastAsia="zh-CN"/>
              </w:rPr>
              <w:t>项目道路及硬化工程总面积14696.12m</w:t>
            </w:r>
            <w:r>
              <w:rPr>
                <w:rFonts w:hint="eastAsia"/>
                <w:vertAlign w:val="superscript"/>
                <w:lang w:val="en-US" w:eastAsia="zh-CN"/>
              </w:rPr>
              <w:t>2</w:t>
            </w:r>
            <w:r>
              <w:rPr>
                <w:rFonts w:hint="eastAsia"/>
                <w:lang w:val="en-US" w:eastAsia="zh-CN"/>
              </w:rPr>
              <w:t>，包括厂区道路、地面硬化及停车场等。</w:t>
            </w:r>
            <w:r>
              <w:rPr>
                <w:rFonts w:hint="eastAsia"/>
                <w:lang w:val="en-US" w:eastAsia="zh-CN"/>
              </w:rPr>
              <w:br w:type="textWrapping"/>
            </w:r>
            <w:r>
              <w:rPr>
                <w:rFonts w:hint="eastAsia"/>
                <w:lang w:val="en-US" w:eastAsia="zh-CN"/>
              </w:rPr>
              <w:t>厂区道路宽位4m、6m及8m，采用城市型混凝土路面，道路环形布置和横向布置相结合，道路长约300m。此外在到路交汇处设置回车场，回车半径12m。道路主要供人行、车辆行驶，兼作消防车道使用。</w:t>
            </w:r>
          </w:p>
        </w:tc>
        <w:tc>
          <w:tcPr>
            <w:tcW w:w="2145" w:type="pct"/>
            <w:tcBorders>
              <w:tl2br w:val="nil"/>
              <w:tr2bl w:val="nil"/>
            </w:tcBorders>
            <w:shd w:val="clear" w:color="auto" w:fill="auto"/>
            <w:tcMar>
              <w:top w:w="15" w:type="dxa"/>
              <w:left w:w="15" w:type="dxa"/>
              <w:right w:w="15" w:type="dxa"/>
            </w:tcMar>
            <w:vAlign w:val="center"/>
          </w:tcPr>
          <w:p>
            <w:pPr>
              <w:pStyle w:val="23"/>
              <w:bidi w:val="0"/>
              <w:jc w:val="center"/>
              <w:rPr>
                <w:rFonts w:hint="eastAsia"/>
              </w:rPr>
            </w:pPr>
            <w:r>
              <w:rPr>
                <w:rFonts w:hint="eastAsia"/>
                <w:lang w:val="en-US" w:eastAsia="zh-CN"/>
              </w:rPr>
              <w:t>项目道路及硬化工程总面积14696.12m</w:t>
            </w:r>
            <w:r>
              <w:rPr>
                <w:rFonts w:hint="eastAsia"/>
                <w:vertAlign w:val="superscript"/>
                <w:lang w:val="en-US" w:eastAsia="zh-CN"/>
              </w:rPr>
              <w:t>2</w:t>
            </w:r>
            <w:r>
              <w:rPr>
                <w:rFonts w:hint="eastAsia"/>
                <w:lang w:val="en-US" w:eastAsia="zh-CN"/>
              </w:rPr>
              <w:t>，包括厂区道路、地面硬化及停车场等。</w:t>
            </w:r>
            <w:r>
              <w:rPr>
                <w:rFonts w:hint="eastAsia"/>
                <w:lang w:val="en-US" w:eastAsia="zh-CN"/>
              </w:rPr>
              <w:br w:type="textWrapping"/>
            </w:r>
            <w:r>
              <w:rPr>
                <w:rFonts w:hint="eastAsia"/>
                <w:lang w:val="en-US" w:eastAsia="zh-CN"/>
              </w:rPr>
              <w:t>厂区道路宽位4m、6m及8m，采用城市型混凝土路面，道路环形布置和横向布置相结合，道路长约300m。此外在到路交汇处设置回车场，回车半径12m。道路主要供人行、车辆行驶，兼作消防车道使用。</w:t>
            </w:r>
          </w:p>
        </w:tc>
        <w:tc>
          <w:tcPr>
            <w:tcW w:w="429" w:type="pct"/>
            <w:tcBorders>
              <w:tl2br w:val="nil"/>
              <w:tr2bl w:val="nil"/>
            </w:tcBorders>
            <w:shd w:val="clear" w:color="auto" w:fill="auto"/>
            <w:tcMar>
              <w:top w:w="15" w:type="dxa"/>
              <w:left w:w="15" w:type="dxa"/>
              <w:right w:w="15" w:type="dxa"/>
            </w:tcMar>
            <w:vAlign w:val="center"/>
          </w:tcPr>
          <w:p>
            <w:pPr>
              <w:pStyle w:val="23"/>
              <w:bidi w:val="0"/>
              <w:jc w:val="center"/>
              <w:rPr>
                <w:rFonts w:hint="eastAsia"/>
              </w:rPr>
            </w:pPr>
            <w:r>
              <w:rPr>
                <w:rFonts w:hint="eastAsia"/>
                <w:lang w:val="en-US" w:eastAsia="zh-CN"/>
              </w:rPr>
              <w:t>基本</w:t>
            </w:r>
            <w:r>
              <w:rPr>
                <w:lang w:val="en-US" w:eastAsia="zh-CN"/>
              </w:rPr>
              <w:t>无变化</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1815" w:hRule="atLeast"/>
          <w:jc w:val="center"/>
        </w:trPr>
        <w:tc>
          <w:tcPr>
            <w:tcW w:w="289" w:type="pct"/>
            <w:tcBorders>
              <w:tl2br w:val="nil"/>
              <w:tr2bl w:val="nil"/>
            </w:tcBorders>
            <w:shd w:val="clear" w:color="auto" w:fill="auto"/>
            <w:tcMar>
              <w:top w:w="15" w:type="dxa"/>
              <w:left w:w="15" w:type="dxa"/>
              <w:right w:w="15" w:type="dxa"/>
            </w:tcMar>
            <w:vAlign w:val="center"/>
          </w:tcPr>
          <w:p>
            <w:pPr>
              <w:pStyle w:val="23"/>
              <w:bidi w:val="0"/>
              <w:jc w:val="center"/>
              <w:rPr>
                <w:rFonts w:hint="default"/>
              </w:rPr>
            </w:pPr>
            <w:r>
              <w:rPr>
                <w:rFonts w:hint="default"/>
                <w:lang w:val="en-US" w:eastAsia="zh-CN"/>
              </w:rPr>
              <w:t>绿化工程</w:t>
            </w:r>
          </w:p>
        </w:tc>
        <w:tc>
          <w:tcPr>
            <w:tcW w:w="2135" w:type="pct"/>
            <w:tcBorders>
              <w:tl2br w:val="nil"/>
              <w:tr2bl w:val="nil"/>
            </w:tcBorders>
            <w:shd w:val="clear" w:color="auto" w:fill="auto"/>
            <w:tcMar>
              <w:top w:w="15" w:type="dxa"/>
              <w:left w:w="15" w:type="dxa"/>
              <w:right w:w="15" w:type="dxa"/>
            </w:tcMar>
            <w:vAlign w:val="center"/>
          </w:tcPr>
          <w:p>
            <w:pPr>
              <w:pStyle w:val="23"/>
              <w:bidi w:val="0"/>
              <w:jc w:val="center"/>
              <w:rPr>
                <w:rFonts w:hint="eastAsia"/>
              </w:rPr>
            </w:pPr>
            <w:r>
              <w:rPr>
                <w:rFonts w:hint="eastAsia"/>
                <w:lang w:val="en-US" w:eastAsia="zh-CN"/>
              </w:rPr>
              <w:t>本项目绿地面积2078.53m</w:t>
            </w:r>
            <w:r>
              <w:rPr>
                <w:rFonts w:hint="eastAsia"/>
                <w:vertAlign w:val="superscript"/>
                <w:lang w:val="en-US" w:eastAsia="zh-CN"/>
              </w:rPr>
              <w:t>2</w:t>
            </w:r>
            <w:r>
              <w:rPr>
                <w:rFonts w:hint="eastAsia"/>
                <w:lang w:val="en-US" w:eastAsia="zh-CN"/>
              </w:rPr>
              <w:t>，绿地率4.67%，采用乔、灌、草相结合的绿化方式。</w:t>
            </w:r>
          </w:p>
        </w:tc>
        <w:tc>
          <w:tcPr>
            <w:tcW w:w="2145" w:type="pct"/>
            <w:tcBorders>
              <w:tl2br w:val="nil"/>
              <w:tr2bl w:val="nil"/>
            </w:tcBorders>
            <w:shd w:val="clear" w:color="auto" w:fill="auto"/>
            <w:tcMar>
              <w:top w:w="15" w:type="dxa"/>
              <w:left w:w="15" w:type="dxa"/>
              <w:right w:w="15" w:type="dxa"/>
            </w:tcMar>
            <w:vAlign w:val="center"/>
          </w:tcPr>
          <w:p>
            <w:pPr>
              <w:pStyle w:val="23"/>
              <w:bidi w:val="0"/>
              <w:jc w:val="center"/>
              <w:rPr>
                <w:rFonts w:hint="eastAsia"/>
              </w:rPr>
            </w:pPr>
            <w:r>
              <w:rPr>
                <w:rFonts w:hint="eastAsia"/>
                <w:lang w:val="en-US" w:eastAsia="zh-CN"/>
              </w:rPr>
              <w:t>本项目绿地面积2078.53m</w:t>
            </w:r>
            <w:r>
              <w:rPr>
                <w:rFonts w:hint="eastAsia"/>
                <w:vertAlign w:val="superscript"/>
                <w:lang w:val="en-US" w:eastAsia="zh-CN"/>
              </w:rPr>
              <w:t>2</w:t>
            </w:r>
            <w:r>
              <w:rPr>
                <w:rFonts w:hint="eastAsia"/>
                <w:lang w:val="en-US" w:eastAsia="zh-CN"/>
              </w:rPr>
              <w:t>，绿地率4.67%，采用乔、灌、草相结合的绿化方式。</w:t>
            </w:r>
          </w:p>
        </w:tc>
        <w:tc>
          <w:tcPr>
            <w:tcW w:w="429" w:type="pct"/>
            <w:tcBorders>
              <w:tl2br w:val="nil"/>
              <w:tr2bl w:val="nil"/>
            </w:tcBorders>
            <w:shd w:val="clear" w:color="auto" w:fill="auto"/>
            <w:tcMar>
              <w:top w:w="15" w:type="dxa"/>
              <w:left w:w="15" w:type="dxa"/>
              <w:right w:w="15" w:type="dxa"/>
            </w:tcMar>
            <w:vAlign w:val="center"/>
          </w:tcPr>
          <w:p>
            <w:pPr>
              <w:pStyle w:val="23"/>
              <w:bidi w:val="0"/>
              <w:jc w:val="center"/>
              <w:rPr>
                <w:rFonts w:hint="eastAsia"/>
              </w:rPr>
            </w:pPr>
            <w:r>
              <w:rPr>
                <w:rFonts w:hint="eastAsia"/>
                <w:lang w:val="en-US" w:eastAsia="zh-CN"/>
              </w:rPr>
              <w:t>基本</w:t>
            </w:r>
            <w:r>
              <w:rPr>
                <w:lang w:val="en-US" w:eastAsia="zh-CN"/>
              </w:rPr>
              <w:t>无变化</w:t>
            </w:r>
          </w:p>
        </w:tc>
      </w:tr>
    </w:tbl>
    <w:p>
      <w:pPr>
        <w:pStyle w:val="5"/>
        <w:bidi w:val="0"/>
        <w:rPr>
          <w:rFonts w:hint="eastAsia"/>
          <w:lang w:val="en-US" w:eastAsia="zh-CN"/>
        </w:rPr>
      </w:pPr>
      <w:r>
        <w:rPr>
          <w:rFonts w:hint="eastAsia"/>
          <w:lang w:val="en-US" w:eastAsia="zh-CN"/>
        </w:rPr>
        <w:t>平面布置</w:t>
      </w:r>
    </w:p>
    <w:p>
      <w:pPr>
        <w:bidi w:val="0"/>
        <w:rPr>
          <w:rFonts w:hint="eastAsia"/>
        </w:rPr>
      </w:pPr>
      <w:r>
        <w:t>本项目地面建筑</w:t>
      </w:r>
      <w:r>
        <w:rPr>
          <w:rFonts w:hint="eastAsia"/>
        </w:rPr>
        <w:t>主要</w:t>
      </w:r>
      <w:r>
        <w:t>由</w:t>
      </w:r>
      <w:r>
        <w:rPr>
          <w:rFonts w:hint="eastAsia"/>
        </w:rPr>
        <w:t>8座生产车间及1栋辅助用房组成，整体呈西北-东南走向。</w:t>
      </w:r>
    </w:p>
    <w:p>
      <w:pPr>
        <w:bidi w:val="0"/>
        <w:rPr>
          <w:rFonts w:hint="eastAsia"/>
        </w:rPr>
      </w:pPr>
      <w:r>
        <w:rPr>
          <w:rFonts w:hint="eastAsia"/>
        </w:rPr>
        <w:t>生产车间全部位于厂区的中部，厂房呈东北-西南走向布设，联排车间1位于项目区西北部，联排车间2位于项目区东南部，中间以一条厂区道路隔开；辅助用房位于项目区最东南面。</w:t>
      </w:r>
    </w:p>
    <w:p>
      <w:pPr>
        <w:bidi w:val="0"/>
        <w:rPr>
          <w:rFonts w:hint="eastAsia"/>
        </w:rPr>
      </w:pPr>
      <w:r>
        <w:rPr>
          <w:rFonts w:hint="eastAsia"/>
        </w:rPr>
        <w:t>地下蓄水池位于项目区东南面，辅助用房西南侧；地下消防泵房、发电机房则位于生产车间2的辅车间地下。</w:t>
      </w:r>
    </w:p>
    <w:p>
      <w:pPr>
        <w:bidi w:val="0"/>
      </w:pPr>
      <w:r>
        <w:rPr>
          <w:rFonts w:hint="eastAsia"/>
        </w:rPr>
        <w:t>厂区共布设3个出入口，全部位于项目区东北一面（三十号道路一侧），其中该侧中间位置为厂区主入口，方便车行及人行；正北角与正东角布设有两个后勤出入口</w:t>
      </w:r>
      <w:r>
        <w:t>。</w:t>
      </w:r>
    </w:p>
    <w:p>
      <w:pPr>
        <w:pStyle w:val="5"/>
        <w:bidi w:val="0"/>
        <w:rPr>
          <w:rFonts w:hint="eastAsia"/>
          <w:lang w:val="en-US" w:eastAsia="zh-CN"/>
        </w:rPr>
      </w:pPr>
      <w:r>
        <w:rPr>
          <w:rFonts w:hint="eastAsia"/>
          <w:lang w:val="en-US" w:eastAsia="zh-CN"/>
        </w:rPr>
        <w:t>竖向布置</w:t>
      </w:r>
    </w:p>
    <w:p>
      <w:pPr>
        <w:bidi w:val="0"/>
        <w:rPr>
          <w:rFonts w:hint="eastAsia"/>
        </w:rPr>
      </w:pPr>
      <w:r>
        <w:t>建</w:t>
      </w:r>
      <w:r>
        <w:rPr>
          <w:rFonts w:hint="eastAsia"/>
          <w:lang w:val="en-US" w:eastAsia="zh-CN"/>
        </w:rPr>
        <w:t>设</w:t>
      </w:r>
      <w:r>
        <w:t>场地</w:t>
      </w:r>
      <w:r>
        <w:rPr>
          <w:rFonts w:hint="eastAsia"/>
        </w:rPr>
        <w:t>原</w:t>
      </w:r>
      <w:r>
        <w:t>地面高程507～514m，为浅丘地貌，</w:t>
      </w:r>
      <w:r>
        <w:rPr>
          <w:rFonts w:hint="eastAsia"/>
        </w:rPr>
        <w:t>整体较为平坦（场地大部分区域标高为511~514m，高差不大，只是在场地南部和东部局部地方存在标高507m的深凹凼）。</w:t>
      </w:r>
      <w:r>
        <w:t>地块为</w:t>
      </w:r>
      <w:r>
        <w:rPr>
          <w:rFonts w:hint="eastAsia"/>
        </w:rPr>
        <w:t>西北-东南向</w:t>
      </w:r>
      <w:r>
        <w:t>长</w:t>
      </w:r>
      <w:r>
        <w:rPr>
          <w:rFonts w:hint="eastAsia"/>
        </w:rPr>
        <w:t>方</w:t>
      </w:r>
      <w:r>
        <w:t>形，整体</w:t>
      </w:r>
      <w:r>
        <w:rPr>
          <w:rFonts w:hint="eastAsia"/>
        </w:rPr>
        <w:t>北高南低、东高西低</w:t>
      </w:r>
      <w:r>
        <w:t>，地面设计标高为513m</w:t>
      </w:r>
      <w:r>
        <w:rPr>
          <w:rFonts w:hint="eastAsia"/>
        </w:rPr>
        <w:t>；</w:t>
      </w:r>
      <w:r>
        <w:t>地下</w:t>
      </w:r>
      <w:r>
        <w:rPr>
          <w:rFonts w:hint="eastAsia"/>
        </w:rPr>
        <w:t>建筑</w:t>
      </w:r>
      <w:r>
        <w:t>层高</w:t>
      </w:r>
      <w:r>
        <w:rPr>
          <w:rFonts w:hint="eastAsia"/>
        </w:rPr>
        <w:t>2~3</w:t>
      </w:r>
      <w:r>
        <w:t>m，底部标高为510m。</w:t>
      </w:r>
    </w:p>
    <w:p>
      <w:pPr>
        <w:bidi w:val="0"/>
        <w:rPr>
          <w:rFonts w:hint="eastAsia"/>
        </w:rPr>
      </w:pPr>
      <w:r>
        <w:rPr>
          <w:rFonts w:hint="eastAsia"/>
        </w:rPr>
        <w:t>场地内深凹凼将有园区管委会进行回填场平，填方由园区其他建设项目场地调入，回填后深凹凼标高提升至512m左右。</w:t>
      </w:r>
    </w:p>
    <w:p>
      <w:pPr>
        <w:ind w:firstLine="480"/>
      </w:pPr>
      <w:r>
        <w:rPr>
          <w:rFonts w:hint="eastAsia"/>
        </w:rPr>
        <w:t>项目厂区旁园区道路设计标高为512~514m，厂区内道路能够与市政道路相结合。</w:t>
      </w:r>
      <w:r>
        <w:t>给排水</w:t>
      </w:r>
      <w:r>
        <w:rPr>
          <w:rFonts w:hint="eastAsia"/>
        </w:rPr>
        <w:t>系统</w:t>
      </w:r>
      <w:r>
        <w:t>采用埋地敷设</w:t>
      </w:r>
      <w:r>
        <w:rPr>
          <w:rFonts w:hint="eastAsia"/>
        </w:rPr>
        <w:t>（开挖）</w:t>
      </w:r>
      <w:r>
        <w:t>，场地内雨水经</w:t>
      </w:r>
      <w:r>
        <w:rPr>
          <w:rFonts w:hint="eastAsia"/>
        </w:rPr>
        <w:t>排水沟</w:t>
      </w:r>
      <w:r>
        <w:t>有组织排入</w:t>
      </w:r>
      <w:r>
        <w:rPr>
          <w:rFonts w:hint="eastAsia"/>
        </w:rPr>
        <w:t>市政</w:t>
      </w:r>
      <w:r>
        <w:t>道路雨水检查井，排水方向由西至东，排水坡度i≥0.003</w:t>
      </w:r>
      <w:r>
        <w:rPr>
          <w:rFonts w:hint="eastAsia"/>
        </w:rPr>
        <w:t>。</w:t>
      </w:r>
    </w:p>
    <w:p>
      <w:pPr>
        <w:pStyle w:val="5"/>
        <w:rPr>
          <w:rFonts w:cs="Times New Roman"/>
        </w:rPr>
      </w:pPr>
      <w:r>
        <w:rPr>
          <w:rFonts w:cs="Times New Roman"/>
        </w:rPr>
        <w:t>工程占地</w:t>
      </w:r>
    </w:p>
    <w:p>
      <w:pPr>
        <w:ind w:firstLine="480"/>
        <w:rPr>
          <w:rFonts w:cs="Times New Roman"/>
        </w:rPr>
      </w:pPr>
      <w:r>
        <w:rPr>
          <w:rFonts w:hint="eastAsia" w:cs="Times New Roman"/>
        </w:rPr>
        <w:t>根据</w:t>
      </w:r>
      <w:r>
        <w:rPr>
          <w:rFonts w:hint="eastAsia" w:cs="Times New Roman"/>
          <w:lang w:eastAsia="zh-CN"/>
        </w:rPr>
        <w:t>天府新区成都管委会规划建设局</w:t>
      </w:r>
      <w:r>
        <w:rPr>
          <w:rFonts w:hint="eastAsia" w:cs="Times New Roman"/>
        </w:rPr>
        <w:t>关于对《</w:t>
      </w:r>
      <w:r>
        <w:rPr>
          <w:rFonts w:hint="eastAsia" w:cs="Times New Roman"/>
          <w:lang w:eastAsia="zh-CN"/>
        </w:rPr>
        <w:t>上海千缘汽车车身模具有限公司关于汽车零部件制造的项目</w:t>
      </w:r>
      <w:r>
        <w:rPr>
          <w:rFonts w:hint="eastAsia" w:cs="Times New Roman"/>
        </w:rPr>
        <w:t>项目水土保持方案报告书》的批复意见（</w:t>
      </w:r>
      <w:r>
        <w:rPr>
          <w:rFonts w:hint="eastAsia" w:cs="Times New Roman"/>
          <w:lang w:eastAsia="zh-CN"/>
        </w:rPr>
        <w:t>天成管规建城复[2016]210号</w:t>
      </w:r>
      <w:r>
        <w:rPr>
          <w:rFonts w:hint="eastAsia" w:cs="Times New Roman"/>
        </w:rPr>
        <w:t>），本项目总占地面积</w:t>
      </w:r>
      <w:r>
        <w:rPr>
          <w:rFonts w:hint="eastAsia" w:cs="Times New Roman"/>
          <w:lang w:eastAsia="zh-CN"/>
        </w:rPr>
        <w:t>4.45</w:t>
      </w:r>
      <w:r>
        <w:rPr>
          <w:rFonts w:cs="Times New Roman"/>
        </w:rPr>
        <w:t>hm</w:t>
      </w:r>
      <w:r>
        <w:rPr>
          <w:rFonts w:hint="eastAsia" w:cs="Times New Roman"/>
          <w:vertAlign w:val="superscript"/>
        </w:rPr>
        <w:t>2</w:t>
      </w:r>
      <w:r>
        <w:rPr>
          <w:rFonts w:hint="eastAsia" w:cs="Times New Roman"/>
        </w:rPr>
        <w:t>，</w:t>
      </w:r>
      <w:r>
        <w:rPr>
          <w:rFonts w:hint="eastAsia" w:cs="Times New Roman"/>
          <w:lang w:val="en-US" w:eastAsia="zh-CN"/>
        </w:rPr>
        <w:t>均为永久占地</w:t>
      </w:r>
      <w:r>
        <w:rPr>
          <w:rFonts w:hint="eastAsia" w:cs="Times New Roman"/>
        </w:rPr>
        <w:t>。</w:t>
      </w:r>
    </w:p>
    <w:p>
      <w:pPr>
        <w:ind w:firstLine="480"/>
        <w:rPr>
          <w:rFonts w:cs="Times New Roman"/>
        </w:rPr>
      </w:pPr>
      <w:r>
        <w:rPr>
          <w:rFonts w:hint="eastAsia" w:cs="Times New Roman"/>
        </w:rPr>
        <w:t>通过查阅主体监理资料、竣工决算资料及现场核实，工程建设实际总占地面积为</w:t>
      </w:r>
      <w:r>
        <w:rPr>
          <w:rFonts w:hint="eastAsia" w:cs="Times New Roman"/>
          <w:lang w:eastAsia="zh-CN"/>
        </w:rPr>
        <w:t>4.45</w:t>
      </w:r>
      <w:r>
        <w:rPr>
          <w:rFonts w:cs="Times New Roman"/>
        </w:rPr>
        <w:t>hm²</w:t>
      </w:r>
      <w:r>
        <w:rPr>
          <w:rFonts w:hint="eastAsia" w:cs="Times New Roman"/>
        </w:rPr>
        <w:t>，</w:t>
      </w:r>
      <w:r>
        <w:rPr>
          <w:rFonts w:hint="eastAsia" w:cs="Times New Roman"/>
          <w:lang w:val="en-US" w:eastAsia="zh-CN"/>
        </w:rPr>
        <w:t>均为永久占地</w:t>
      </w:r>
      <w:r>
        <w:rPr>
          <w:rFonts w:hint="eastAsia" w:cs="Times New Roman"/>
        </w:rPr>
        <w:t>。</w:t>
      </w:r>
    </w:p>
    <w:p>
      <w:pPr>
        <w:pStyle w:val="24"/>
        <w:rPr>
          <w:rFonts w:cs="Times New Roman"/>
          <w:vertAlign w:val="superscript"/>
        </w:rPr>
      </w:pPr>
      <w:r>
        <w:rPr>
          <w:rFonts w:cs="Times New Roman"/>
        </w:rPr>
        <w:t>表1.1-</w:t>
      </w:r>
      <w:r>
        <w:rPr>
          <w:rFonts w:hint="eastAsia" w:cs="Times New Roman"/>
        </w:rPr>
        <w:t>3</w:t>
      </w:r>
      <w:r>
        <w:rPr>
          <w:rFonts w:cs="Times New Roman"/>
        </w:rPr>
        <w:t xml:space="preserve"> 方案设计与工程实际占地面积表</w:t>
      </w:r>
      <w:r>
        <w:rPr>
          <w:rFonts w:hint="eastAsia" w:cs="Times New Roman"/>
        </w:rPr>
        <w:t xml:space="preserve">   单位：hm</w:t>
      </w:r>
      <w:r>
        <w:rPr>
          <w:rFonts w:hint="eastAsia" w:cs="Times New Roman"/>
          <w:vertAlign w:val="superscript"/>
        </w:rPr>
        <w:t>2</w:t>
      </w:r>
    </w:p>
    <w:tbl>
      <w:tblPr>
        <w:tblStyle w:val="13"/>
        <w:tblW w:w="5000"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1549"/>
        <w:gridCol w:w="2150"/>
        <w:gridCol w:w="1800"/>
        <w:gridCol w:w="1800"/>
        <w:gridCol w:w="1801"/>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705" w:hRule="atLeast"/>
        </w:trPr>
        <w:tc>
          <w:tcPr>
            <w:tcW w:w="2032" w:type="pct"/>
            <w:gridSpan w:val="2"/>
            <w:tcBorders>
              <w:tl2br w:val="nil"/>
              <w:tr2bl w:val="nil"/>
            </w:tcBorders>
            <w:shd w:val="clear" w:color="auto" w:fill="auto"/>
            <w:noWrap/>
            <w:tcMar>
              <w:top w:w="15" w:type="dxa"/>
              <w:left w:w="15" w:type="dxa"/>
              <w:right w:w="15" w:type="dxa"/>
            </w:tcMar>
            <w:vAlign w:val="center"/>
          </w:tcPr>
          <w:p>
            <w:pPr>
              <w:pStyle w:val="23"/>
            </w:pPr>
            <w:r>
              <w:rPr>
                <w:rFonts w:hint="eastAsia"/>
              </w:rPr>
              <w:t>防治责任范围</w:t>
            </w:r>
          </w:p>
        </w:tc>
        <w:tc>
          <w:tcPr>
            <w:tcW w:w="989" w:type="pct"/>
            <w:tcBorders>
              <w:tl2br w:val="nil"/>
              <w:tr2bl w:val="nil"/>
            </w:tcBorders>
            <w:shd w:val="clear" w:color="auto" w:fill="auto"/>
            <w:noWrap/>
            <w:tcMar>
              <w:top w:w="15" w:type="dxa"/>
              <w:left w:w="15" w:type="dxa"/>
              <w:right w:w="15" w:type="dxa"/>
            </w:tcMar>
            <w:vAlign w:val="center"/>
          </w:tcPr>
          <w:p>
            <w:pPr>
              <w:pStyle w:val="23"/>
            </w:pPr>
            <w:r>
              <w:rPr>
                <w:rFonts w:hint="eastAsia"/>
              </w:rPr>
              <w:t>原方案批复</w:t>
            </w:r>
          </w:p>
        </w:tc>
        <w:tc>
          <w:tcPr>
            <w:tcW w:w="989" w:type="pct"/>
            <w:tcBorders>
              <w:tl2br w:val="nil"/>
              <w:tr2bl w:val="nil"/>
            </w:tcBorders>
            <w:shd w:val="clear" w:color="auto" w:fill="auto"/>
            <w:noWrap/>
            <w:tcMar>
              <w:top w:w="15" w:type="dxa"/>
              <w:left w:w="15" w:type="dxa"/>
              <w:right w:w="15" w:type="dxa"/>
            </w:tcMar>
            <w:vAlign w:val="center"/>
          </w:tcPr>
          <w:p>
            <w:pPr>
              <w:pStyle w:val="23"/>
            </w:pPr>
            <w:r>
              <w:rPr>
                <w:rFonts w:hint="eastAsia"/>
              </w:rPr>
              <w:t>验收阶段</w:t>
            </w:r>
          </w:p>
        </w:tc>
        <w:tc>
          <w:tcPr>
            <w:tcW w:w="989" w:type="pct"/>
            <w:tcBorders>
              <w:tl2br w:val="nil"/>
              <w:tr2bl w:val="nil"/>
            </w:tcBorders>
            <w:shd w:val="clear" w:color="auto" w:fill="auto"/>
            <w:noWrap/>
            <w:tcMar>
              <w:top w:w="15" w:type="dxa"/>
              <w:left w:w="15" w:type="dxa"/>
              <w:right w:w="15" w:type="dxa"/>
            </w:tcMar>
            <w:vAlign w:val="center"/>
          </w:tcPr>
          <w:p>
            <w:pPr>
              <w:pStyle w:val="23"/>
            </w:pPr>
            <w:r>
              <w:rPr>
                <w:rFonts w:hint="eastAsia"/>
              </w:rPr>
              <w:t>验收后</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851" w:type="pct"/>
            <w:vMerge w:val="restart"/>
            <w:tcBorders>
              <w:tl2br w:val="nil"/>
              <w:tr2bl w:val="nil"/>
            </w:tcBorders>
            <w:shd w:val="clear" w:color="auto" w:fill="auto"/>
            <w:noWrap/>
            <w:tcMar>
              <w:top w:w="15" w:type="dxa"/>
              <w:left w:w="15" w:type="dxa"/>
              <w:right w:w="15" w:type="dxa"/>
            </w:tcMar>
            <w:vAlign w:val="center"/>
          </w:tcPr>
          <w:p>
            <w:pPr>
              <w:pStyle w:val="23"/>
            </w:pPr>
            <w:r>
              <w:rPr>
                <w:rFonts w:hint="eastAsia"/>
              </w:rPr>
              <w:t>项目建设区</w:t>
            </w:r>
          </w:p>
        </w:tc>
        <w:tc>
          <w:tcPr>
            <w:tcW w:w="1181" w:type="pct"/>
            <w:tcBorders>
              <w:tl2br w:val="nil"/>
              <w:tr2bl w:val="nil"/>
            </w:tcBorders>
            <w:shd w:val="clear" w:color="auto" w:fill="auto"/>
            <w:noWrap/>
            <w:tcMar>
              <w:top w:w="15" w:type="dxa"/>
              <w:left w:w="15" w:type="dxa"/>
              <w:right w:w="15" w:type="dxa"/>
            </w:tcMar>
            <w:vAlign w:val="center"/>
          </w:tcPr>
          <w:p>
            <w:pPr>
              <w:pStyle w:val="23"/>
              <w:rPr>
                <w:rFonts w:hint="eastAsia" w:eastAsia="仿宋"/>
                <w:lang w:eastAsia="zh-CN"/>
              </w:rPr>
            </w:pPr>
            <w:r>
              <w:rPr>
                <w:rFonts w:hint="eastAsia"/>
                <w:lang w:eastAsia="zh-CN"/>
              </w:rPr>
              <w:t>建构筑物防治区</w:t>
            </w:r>
          </w:p>
        </w:tc>
        <w:tc>
          <w:tcPr>
            <w:tcW w:w="1800" w:type="dxa"/>
            <w:tcBorders>
              <w:tl2br w:val="nil"/>
              <w:tr2bl w:val="nil"/>
            </w:tcBorders>
            <w:shd w:val="clear" w:color="auto" w:fill="auto"/>
            <w:noWrap/>
            <w:tcMar>
              <w:top w:w="15" w:type="dxa"/>
              <w:left w:w="15" w:type="dxa"/>
              <w:right w:w="15" w:type="dxa"/>
            </w:tcMar>
            <w:vAlign w:val="bottom"/>
          </w:tcPr>
          <w:p>
            <w:pPr>
              <w:pStyle w:val="23"/>
              <w:bidi w:val="0"/>
              <w:ind w:firstLine="0" w:firstLineChars="0"/>
            </w:pPr>
            <w:r>
              <w:rPr>
                <w:rFonts w:hint="eastAsia"/>
                <w:lang w:val="en-US" w:eastAsia="zh-CN"/>
              </w:rPr>
              <w:t>2.77</w:t>
            </w:r>
          </w:p>
        </w:tc>
        <w:tc>
          <w:tcPr>
            <w:tcW w:w="1800" w:type="dxa"/>
            <w:tcBorders>
              <w:tl2br w:val="nil"/>
              <w:tr2bl w:val="nil"/>
            </w:tcBorders>
            <w:shd w:val="clear" w:color="auto" w:fill="auto"/>
            <w:noWrap/>
            <w:tcMar>
              <w:top w:w="15" w:type="dxa"/>
              <w:left w:w="15" w:type="dxa"/>
              <w:right w:w="15" w:type="dxa"/>
            </w:tcMar>
            <w:vAlign w:val="bottom"/>
          </w:tcPr>
          <w:p>
            <w:pPr>
              <w:pStyle w:val="23"/>
              <w:bidi w:val="0"/>
              <w:ind w:firstLine="0" w:firstLineChars="0"/>
            </w:pPr>
            <w:r>
              <w:rPr>
                <w:rFonts w:hint="eastAsia"/>
                <w:lang w:val="en-US" w:eastAsia="zh-CN"/>
              </w:rPr>
              <w:t>2.77</w:t>
            </w:r>
          </w:p>
        </w:tc>
        <w:tc>
          <w:tcPr>
            <w:tcW w:w="1800" w:type="dxa"/>
            <w:tcBorders>
              <w:tl2br w:val="nil"/>
              <w:tr2bl w:val="nil"/>
            </w:tcBorders>
            <w:shd w:val="clear" w:color="auto" w:fill="auto"/>
            <w:noWrap/>
            <w:tcMar>
              <w:top w:w="15" w:type="dxa"/>
              <w:left w:w="15" w:type="dxa"/>
              <w:right w:w="15" w:type="dxa"/>
            </w:tcMar>
            <w:vAlign w:val="bottom"/>
          </w:tcPr>
          <w:p>
            <w:pPr>
              <w:pStyle w:val="23"/>
              <w:bidi w:val="0"/>
              <w:ind w:firstLine="0" w:firstLineChars="0"/>
            </w:pPr>
            <w:r>
              <w:rPr>
                <w:rFonts w:hint="eastAsia"/>
                <w:lang w:val="en-US" w:eastAsia="zh-CN"/>
              </w:rPr>
              <w:t>2.77</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851" w:type="pct"/>
            <w:vMerge w:val="continue"/>
            <w:tcBorders>
              <w:tl2br w:val="nil"/>
              <w:tr2bl w:val="nil"/>
            </w:tcBorders>
            <w:shd w:val="clear" w:color="auto" w:fill="auto"/>
            <w:noWrap/>
            <w:tcMar>
              <w:top w:w="15" w:type="dxa"/>
              <w:left w:w="15" w:type="dxa"/>
              <w:right w:w="15" w:type="dxa"/>
            </w:tcMar>
            <w:vAlign w:val="center"/>
          </w:tcPr>
          <w:p>
            <w:pPr>
              <w:pStyle w:val="23"/>
            </w:pPr>
          </w:p>
        </w:tc>
        <w:tc>
          <w:tcPr>
            <w:tcW w:w="1181" w:type="pct"/>
            <w:tcBorders>
              <w:tl2br w:val="nil"/>
              <w:tr2bl w:val="nil"/>
            </w:tcBorders>
            <w:shd w:val="clear" w:color="auto" w:fill="auto"/>
            <w:noWrap/>
            <w:tcMar>
              <w:top w:w="15" w:type="dxa"/>
              <w:left w:w="15" w:type="dxa"/>
              <w:right w:w="15" w:type="dxa"/>
            </w:tcMar>
            <w:vAlign w:val="center"/>
          </w:tcPr>
          <w:p>
            <w:pPr>
              <w:pStyle w:val="23"/>
              <w:rPr>
                <w:rFonts w:hint="eastAsia" w:eastAsia="仿宋"/>
                <w:lang w:eastAsia="zh-CN"/>
              </w:rPr>
            </w:pPr>
            <w:r>
              <w:rPr>
                <w:rFonts w:hint="eastAsia"/>
                <w:lang w:eastAsia="zh-CN"/>
              </w:rPr>
              <w:t>道路及硬化工程防治区</w:t>
            </w:r>
          </w:p>
        </w:tc>
        <w:tc>
          <w:tcPr>
            <w:tcW w:w="1800" w:type="dxa"/>
            <w:tcBorders>
              <w:tl2br w:val="nil"/>
              <w:tr2bl w:val="nil"/>
            </w:tcBorders>
            <w:shd w:val="clear" w:color="auto" w:fill="auto"/>
            <w:noWrap/>
            <w:tcMar>
              <w:top w:w="15" w:type="dxa"/>
              <w:left w:w="15" w:type="dxa"/>
              <w:right w:w="15" w:type="dxa"/>
            </w:tcMar>
            <w:vAlign w:val="bottom"/>
          </w:tcPr>
          <w:p>
            <w:pPr>
              <w:pStyle w:val="23"/>
              <w:bidi w:val="0"/>
              <w:ind w:firstLine="0" w:firstLineChars="0"/>
            </w:pPr>
            <w:r>
              <w:rPr>
                <w:rFonts w:hint="eastAsia"/>
                <w:lang w:val="en-US" w:eastAsia="zh-CN"/>
              </w:rPr>
              <w:t>1.47</w:t>
            </w:r>
          </w:p>
        </w:tc>
        <w:tc>
          <w:tcPr>
            <w:tcW w:w="1800" w:type="dxa"/>
            <w:tcBorders>
              <w:tl2br w:val="nil"/>
              <w:tr2bl w:val="nil"/>
            </w:tcBorders>
            <w:shd w:val="clear" w:color="auto" w:fill="auto"/>
            <w:noWrap/>
            <w:tcMar>
              <w:top w:w="15" w:type="dxa"/>
              <w:left w:w="15" w:type="dxa"/>
              <w:right w:w="15" w:type="dxa"/>
            </w:tcMar>
            <w:vAlign w:val="bottom"/>
          </w:tcPr>
          <w:p>
            <w:pPr>
              <w:pStyle w:val="23"/>
              <w:bidi w:val="0"/>
              <w:ind w:firstLine="0" w:firstLineChars="0"/>
            </w:pPr>
            <w:r>
              <w:rPr>
                <w:rFonts w:hint="eastAsia"/>
                <w:lang w:val="en-US" w:eastAsia="zh-CN"/>
              </w:rPr>
              <w:t>1.47</w:t>
            </w:r>
          </w:p>
        </w:tc>
        <w:tc>
          <w:tcPr>
            <w:tcW w:w="1800" w:type="dxa"/>
            <w:tcBorders>
              <w:tl2br w:val="nil"/>
              <w:tr2bl w:val="nil"/>
            </w:tcBorders>
            <w:shd w:val="clear" w:color="auto" w:fill="auto"/>
            <w:noWrap/>
            <w:tcMar>
              <w:top w:w="15" w:type="dxa"/>
              <w:left w:w="15" w:type="dxa"/>
              <w:right w:w="15" w:type="dxa"/>
            </w:tcMar>
            <w:vAlign w:val="bottom"/>
          </w:tcPr>
          <w:p>
            <w:pPr>
              <w:pStyle w:val="23"/>
              <w:bidi w:val="0"/>
              <w:ind w:firstLine="0" w:firstLineChars="0"/>
            </w:pPr>
            <w:r>
              <w:rPr>
                <w:rFonts w:hint="eastAsia"/>
                <w:lang w:val="en-US" w:eastAsia="zh-CN"/>
              </w:rPr>
              <w:t>1.47</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851" w:type="pct"/>
            <w:vMerge w:val="continue"/>
            <w:tcBorders>
              <w:tl2br w:val="nil"/>
              <w:tr2bl w:val="nil"/>
            </w:tcBorders>
            <w:shd w:val="clear" w:color="auto" w:fill="auto"/>
            <w:noWrap/>
            <w:tcMar>
              <w:top w:w="15" w:type="dxa"/>
              <w:left w:w="15" w:type="dxa"/>
              <w:right w:w="15" w:type="dxa"/>
            </w:tcMar>
            <w:vAlign w:val="center"/>
          </w:tcPr>
          <w:p>
            <w:pPr>
              <w:pStyle w:val="23"/>
            </w:pPr>
          </w:p>
        </w:tc>
        <w:tc>
          <w:tcPr>
            <w:tcW w:w="1181" w:type="pct"/>
            <w:tcBorders>
              <w:tl2br w:val="nil"/>
              <w:tr2bl w:val="nil"/>
            </w:tcBorders>
            <w:shd w:val="clear" w:color="auto" w:fill="auto"/>
            <w:noWrap/>
            <w:tcMar>
              <w:top w:w="15" w:type="dxa"/>
              <w:left w:w="15" w:type="dxa"/>
              <w:right w:w="15" w:type="dxa"/>
            </w:tcMar>
            <w:vAlign w:val="center"/>
          </w:tcPr>
          <w:p>
            <w:pPr>
              <w:pStyle w:val="23"/>
              <w:rPr>
                <w:rFonts w:hint="eastAsia" w:eastAsia="仿宋"/>
                <w:lang w:eastAsia="zh-CN"/>
              </w:rPr>
            </w:pPr>
            <w:r>
              <w:rPr>
                <w:rFonts w:hint="eastAsia"/>
                <w:lang w:eastAsia="zh-CN"/>
              </w:rPr>
              <w:t>绿化防治区</w:t>
            </w:r>
          </w:p>
        </w:tc>
        <w:tc>
          <w:tcPr>
            <w:tcW w:w="1800" w:type="dxa"/>
            <w:tcBorders>
              <w:tl2br w:val="nil"/>
              <w:tr2bl w:val="nil"/>
            </w:tcBorders>
            <w:shd w:val="clear" w:color="auto" w:fill="auto"/>
            <w:noWrap/>
            <w:tcMar>
              <w:top w:w="15" w:type="dxa"/>
              <w:left w:w="15" w:type="dxa"/>
              <w:right w:w="15" w:type="dxa"/>
            </w:tcMar>
            <w:vAlign w:val="bottom"/>
          </w:tcPr>
          <w:p>
            <w:pPr>
              <w:pStyle w:val="23"/>
              <w:bidi w:val="0"/>
              <w:ind w:firstLine="0" w:firstLineChars="0"/>
            </w:pPr>
            <w:r>
              <w:rPr>
                <w:rFonts w:hint="eastAsia"/>
                <w:lang w:val="en-US" w:eastAsia="zh-CN"/>
              </w:rPr>
              <w:t>0.21</w:t>
            </w:r>
          </w:p>
        </w:tc>
        <w:tc>
          <w:tcPr>
            <w:tcW w:w="1800" w:type="dxa"/>
            <w:tcBorders>
              <w:tl2br w:val="nil"/>
              <w:tr2bl w:val="nil"/>
            </w:tcBorders>
            <w:shd w:val="clear" w:color="auto" w:fill="auto"/>
            <w:noWrap/>
            <w:tcMar>
              <w:top w:w="15" w:type="dxa"/>
              <w:left w:w="15" w:type="dxa"/>
              <w:right w:w="15" w:type="dxa"/>
            </w:tcMar>
            <w:vAlign w:val="bottom"/>
          </w:tcPr>
          <w:p>
            <w:pPr>
              <w:pStyle w:val="23"/>
              <w:bidi w:val="0"/>
              <w:ind w:firstLine="0" w:firstLineChars="0"/>
            </w:pPr>
            <w:r>
              <w:rPr>
                <w:rFonts w:hint="eastAsia"/>
                <w:lang w:val="en-US" w:eastAsia="zh-CN"/>
              </w:rPr>
              <w:t>0.21</w:t>
            </w:r>
          </w:p>
        </w:tc>
        <w:tc>
          <w:tcPr>
            <w:tcW w:w="1800" w:type="dxa"/>
            <w:tcBorders>
              <w:tl2br w:val="nil"/>
              <w:tr2bl w:val="nil"/>
            </w:tcBorders>
            <w:shd w:val="clear" w:color="auto" w:fill="auto"/>
            <w:noWrap/>
            <w:tcMar>
              <w:top w:w="15" w:type="dxa"/>
              <w:left w:w="15" w:type="dxa"/>
              <w:right w:w="15" w:type="dxa"/>
            </w:tcMar>
            <w:vAlign w:val="bottom"/>
          </w:tcPr>
          <w:p>
            <w:pPr>
              <w:pStyle w:val="23"/>
              <w:bidi w:val="0"/>
              <w:ind w:firstLine="0" w:firstLineChars="0"/>
            </w:pPr>
            <w:r>
              <w:rPr>
                <w:rFonts w:hint="eastAsia"/>
                <w:lang w:val="en-US" w:eastAsia="zh-CN"/>
              </w:rPr>
              <w:t>0.21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851" w:type="pct"/>
            <w:vMerge w:val="continue"/>
            <w:tcBorders>
              <w:tl2br w:val="nil"/>
              <w:tr2bl w:val="nil"/>
            </w:tcBorders>
            <w:shd w:val="clear" w:color="auto" w:fill="auto"/>
            <w:noWrap/>
            <w:tcMar>
              <w:top w:w="15" w:type="dxa"/>
              <w:left w:w="15" w:type="dxa"/>
              <w:right w:w="15" w:type="dxa"/>
            </w:tcMar>
            <w:vAlign w:val="center"/>
          </w:tcPr>
          <w:p>
            <w:pPr>
              <w:pStyle w:val="23"/>
            </w:pPr>
          </w:p>
        </w:tc>
        <w:tc>
          <w:tcPr>
            <w:tcW w:w="1181" w:type="pct"/>
            <w:tcBorders>
              <w:tl2br w:val="nil"/>
              <w:tr2bl w:val="nil"/>
            </w:tcBorders>
            <w:shd w:val="clear" w:color="auto" w:fill="auto"/>
            <w:noWrap/>
            <w:tcMar>
              <w:top w:w="15" w:type="dxa"/>
              <w:left w:w="15" w:type="dxa"/>
              <w:right w:w="15" w:type="dxa"/>
            </w:tcMar>
            <w:vAlign w:val="center"/>
          </w:tcPr>
          <w:p>
            <w:pPr>
              <w:pStyle w:val="23"/>
            </w:pPr>
            <w:r>
              <w:rPr>
                <w:rFonts w:hint="eastAsia"/>
              </w:rPr>
              <w:t>小计</w:t>
            </w:r>
          </w:p>
        </w:tc>
        <w:tc>
          <w:tcPr>
            <w:tcW w:w="1800" w:type="dxa"/>
            <w:tcBorders>
              <w:tl2br w:val="nil"/>
              <w:tr2bl w:val="nil"/>
            </w:tcBorders>
            <w:shd w:val="clear" w:color="auto" w:fill="auto"/>
            <w:noWrap/>
            <w:tcMar>
              <w:top w:w="15" w:type="dxa"/>
              <w:left w:w="15" w:type="dxa"/>
              <w:right w:w="15" w:type="dxa"/>
            </w:tcMar>
            <w:vAlign w:val="bottom"/>
          </w:tcPr>
          <w:p>
            <w:pPr>
              <w:pStyle w:val="23"/>
              <w:bidi w:val="0"/>
              <w:ind w:firstLine="0" w:firstLineChars="0"/>
              <w:rPr>
                <w:rFonts w:hint="eastAsia" w:eastAsia="仿宋"/>
                <w:lang w:eastAsia="zh-CN"/>
              </w:rPr>
            </w:pPr>
            <w:r>
              <w:rPr>
                <w:rFonts w:hint="eastAsia"/>
                <w:lang w:val="en-US" w:eastAsia="zh-CN"/>
              </w:rPr>
              <w:t>4.45</w:t>
            </w:r>
          </w:p>
        </w:tc>
        <w:tc>
          <w:tcPr>
            <w:tcW w:w="1800" w:type="dxa"/>
            <w:tcBorders>
              <w:tl2br w:val="nil"/>
              <w:tr2bl w:val="nil"/>
            </w:tcBorders>
            <w:shd w:val="clear" w:color="auto" w:fill="auto"/>
            <w:noWrap/>
            <w:tcMar>
              <w:top w:w="15" w:type="dxa"/>
              <w:left w:w="15" w:type="dxa"/>
              <w:right w:w="15" w:type="dxa"/>
            </w:tcMar>
            <w:vAlign w:val="bottom"/>
          </w:tcPr>
          <w:p>
            <w:pPr>
              <w:pStyle w:val="23"/>
              <w:bidi w:val="0"/>
              <w:ind w:firstLine="0" w:firstLineChars="0"/>
              <w:rPr>
                <w:rFonts w:hint="eastAsia" w:eastAsia="仿宋"/>
                <w:lang w:eastAsia="zh-CN"/>
              </w:rPr>
            </w:pPr>
            <w:r>
              <w:rPr>
                <w:rFonts w:hint="eastAsia"/>
                <w:lang w:val="en-US" w:eastAsia="zh-CN"/>
              </w:rPr>
              <w:t>4.45</w:t>
            </w:r>
          </w:p>
        </w:tc>
        <w:tc>
          <w:tcPr>
            <w:tcW w:w="1800" w:type="dxa"/>
            <w:tcBorders>
              <w:tl2br w:val="nil"/>
              <w:tr2bl w:val="nil"/>
            </w:tcBorders>
            <w:shd w:val="clear" w:color="auto" w:fill="auto"/>
            <w:noWrap/>
            <w:tcMar>
              <w:top w:w="15" w:type="dxa"/>
              <w:left w:w="15" w:type="dxa"/>
              <w:right w:w="15" w:type="dxa"/>
            </w:tcMar>
            <w:vAlign w:val="bottom"/>
          </w:tcPr>
          <w:p>
            <w:pPr>
              <w:pStyle w:val="23"/>
              <w:bidi w:val="0"/>
              <w:ind w:firstLine="0" w:firstLineChars="0"/>
            </w:pPr>
            <w:r>
              <w:rPr>
                <w:rFonts w:hint="eastAsia"/>
                <w:lang w:val="en-US" w:eastAsia="zh-CN"/>
              </w:rPr>
              <w:t>4.45</w:t>
            </w:r>
          </w:p>
        </w:tc>
      </w:tr>
    </w:tbl>
    <w:p>
      <w:pPr>
        <w:pStyle w:val="5"/>
        <w:rPr>
          <w:rFonts w:cs="Times New Roman"/>
        </w:rPr>
      </w:pPr>
      <w:r>
        <w:rPr>
          <w:rFonts w:cs="Times New Roman"/>
        </w:rPr>
        <w:t>工程土石方量</w:t>
      </w:r>
    </w:p>
    <w:p>
      <w:pPr>
        <w:ind w:firstLine="480"/>
        <w:rPr>
          <w:rFonts w:cs="Times New Roman"/>
        </w:rPr>
      </w:pPr>
      <w:r>
        <w:rPr>
          <w:rFonts w:hint="eastAsia" w:cs="Times New Roman"/>
        </w:rPr>
        <w:t>经查阅施工资料和现场调查，本工程共开挖土石方2.89万m</w:t>
      </w:r>
      <w:r>
        <w:rPr>
          <w:rFonts w:hint="eastAsia" w:cs="Times New Roman"/>
          <w:vertAlign w:val="superscript"/>
        </w:rPr>
        <w:t>3</w:t>
      </w:r>
      <w:r>
        <w:rPr>
          <w:rFonts w:hint="eastAsia" w:cs="Times New Roman"/>
        </w:rPr>
        <w:t>（自然方，下同，含表土剥离0.</w:t>
      </w:r>
      <w:r>
        <w:rPr>
          <w:rFonts w:hint="eastAsia" w:cs="Times New Roman"/>
          <w:lang w:val="en-US" w:eastAsia="zh-CN"/>
        </w:rPr>
        <w:t>09</w:t>
      </w:r>
      <w:r>
        <w:rPr>
          <w:rFonts w:hint="eastAsia" w:cs="Times New Roman"/>
        </w:rPr>
        <w:t>万m</w:t>
      </w:r>
      <w:r>
        <w:rPr>
          <w:rFonts w:hint="eastAsia" w:cs="Times New Roman"/>
          <w:vertAlign w:val="superscript"/>
        </w:rPr>
        <w:t>3</w:t>
      </w:r>
      <w:r>
        <w:rPr>
          <w:rFonts w:hint="eastAsia" w:cs="Times New Roman"/>
        </w:rPr>
        <w:t>），回填土石方</w:t>
      </w:r>
      <w:r>
        <w:rPr>
          <w:rFonts w:hint="eastAsia" w:cs="Times New Roman"/>
          <w:lang w:val="en-US" w:eastAsia="zh-CN"/>
        </w:rPr>
        <w:t>1</w:t>
      </w:r>
      <w:r>
        <w:rPr>
          <w:rFonts w:hint="eastAsia" w:cs="Times New Roman"/>
        </w:rPr>
        <w:t>2.89万m</w:t>
      </w:r>
      <w:r>
        <w:rPr>
          <w:rFonts w:hint="eastAsia" w:cs="Times New Roman"/>
          <w:vertAlign w:val="superscript"/>
        </w:rPr>
        <w:t>3</w:t>
      </w:r>
      <w:r>
        <w:rPr>
          <w:rFonts w:hint="eastAsia" w:cs="Times New Roman"/>
        </w:rPr>
        <w:t>（含表土回铺0.</w:t>
      </w:r>
      <w:r>
        <w:rPr>
          <w:rFonts w:hint="eastAsia" w:cs="Times New Roman"/>
          <w:lang w:val="en-US" w:eastAsia="zh-CN"/>
        </w:rPr>
        <w:t>09</w:t>
      </w:r>
      <w:r>
        <w:rPr>
          <w:rFonts w:hint="eastAsia" w:cs="Times New Roman"/>
        </w:rPr>
        <w:t>万m</w:t>
      </w:r>
      <w:r>
        <w:rPr>
          <w:rFonts w:hint="eastAsia" w:cs="Times New Roman"/>
          <w:vertAlign w:val="superscript"/>
        </w:rPr>
        <w:t>3</w:t>
      </w:r>
      <w:r>
        <w:rPr>
          <w:rFonts w:hint="eastAsia" w:cs="Times New Roman"/>
        </w:rPr>
        <w:t>），借方</w:t>
      </w:r>
      <w:r>
        <w:rPr>
          <w:rFonts w:hint="eastAsia" w:cs="Times New Roman"/>
          <w:lang w:val="en-US" w:eastAsia="zh-CN"/>
        </w:rPr>
        <w:t>10</w:t>
      </w:r>
      <w:r>
        <w:rPr>
          <w:rFonts w:hint="eastAsia" w:cs="Times New Roman"/>
        </w:rPr>
        <w:t>万m</w:t>
      </w:r>
      <w:r>
        <w:rPr>
          <w:rFonts w:hint="eastAsia" w:cs="Times New Roman"/>
          <w:vertAlign w:val="superscript"/>
        </w:rPr>
        <w:t>3</w:t>
      </w:r>
      <w:r>
        <w:rPr>
          <w:rFonts w:hint="eastAsia" w:cs="Times New Roman"/>
        </w:rPr>
        <w:t>，</w:t>
      </w:r>
      <w:r>
        <w:rPr>
          <w:rFonts w:hint="eastAsia" w:cs="Times New Roman"/>
          <w:lang w:val="en-US" w:eastAsia="zh-CN"/>
        </w:rPr>
        <w:t>无弃方</w:t>
      </w:r>
      <w:r>
        <w:rPr>
          <w:rFonts w:hint="eastAsia" w:cs="Times New Roman"/>
        </w:rPr>
        <w:t>，</w:t>
      </w:r>
      <w:r>
        <w:rPr>
          <w:rFonts w:hint="eastAsia" w:cs="Times New Roman"/>
          <w:lang w:val="en-US" w:eastAsia="zh-CN"/>
        </w:rPr>
        <w:t>借方</w:t>
      </w:r>
      <w:r>
        <w:rPr>
          <w:rFonts w:hint="eastAsia" w:cs="Times New Roman"/>
        </w:rPr>
        <w:t>由其他建设项目的弃土及园区管委会调入土方进行回填。</w:t>
      </w:r>
    </w:p>
    <w:p>
      <w:pPr>
        <w:ind w:firstLine="480"/>
        <w:rPr>
          <w:rFonts w:cs="Times New Roman"/>
        </w:rPr>
        <w:sectPr>
          <w:headerReference r:id="rId11" w:type="default"/>
          <w:footerReference r:id="rId12" w:type="default"/>
          <w:pgSz w:w="11906" w:h="16838"/>
          <w:pgMar w:top="1418" w:right="1418" w:bottom="1418" w:left="1418" w:header="851" w:footer="992" w:gutter="0"/>
          <w:pgBorders>
            <w:top w:val="none" w:sz="0" w:space="0"/>
            <w:left w:val="none" w:sz="0" w:space="0"/>
            <w:bottom w:val="none" w:sz="0" w:space="0"/>
            <w:right w:val="none" w:sz="0" w:space="0"/>
          </w:pgBorders>
          <w:pgNumType w:start="5"/>
          <w:cols w:space="425" w:num="1"/>
          <w:docGrid w:type="lines" w:linePitch="312" w:charSpace="0"/>
        </w:sectPr>
      </w:pPr>
      <w:r>
        <w:rPr>
          <w:rFonts w:hint="eastAsia" w:cs="Times New Roman"/>
        </w:rPr>
        <w:t>验本项目土石方</w:t>
      </w:r>
      <w:r>
        <w:rPr>
          <w:rFonts w:cs="Times New Roman"/>
        </w:rPr>
        <w:t>基本满足水土保持要求</w:t>
      </w:r>
      <w:r>
        <w:rPr>
          <w:rFonts w:hint="eastAsia" w:cs="Times New Roman"/>
        </w:rPr>
        <w:t>。</w:t>
      </w:r>
    </w:p>
    <w:p>
      <w:pPr>
        <w:pStyle w:val="24"/>
        <w:rPr>
          <w:rFonts w:cs="Times New Roman"/>
        </w:rPr>
      </w:pPr>
      <w:r>
        <w:rPr>
          <w:rFonts w:cs="Times New Roman"/>
        </w:rPr>
        <w:t>表1.1-4 实际工程土石方量表单位</w:t>
      </w:r>
      <w:r>
        <w:rPr>
          <w:rFonts w:hint="eastAsia" w:cs="Times New Roman"/>
        </w:rPr>
        <w:t xml:space="preserve">  </w:t>
      </w:r>
      <w:r>
        <w:rPr>
          <w:rFonts w:cs="Times New Roman"/>
        </w:rPr>
        <w:t>万m</w:t>
      </w:r>
      <w:r>
        <w:rPr>
          <w:rFonts w:cs="Times New Roman"/>
          <w:vertAlign w:val="superscript"/>
        </w:rPr>
        <w:t>3</w:t>
      </w:r>
    </w:p>
    <w:tbl>
      <w:tblPr>
        <w:tblStyle w:val="13"/>
        <w:tblW w:w="5000"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autofit"/>
        <w:tblCellMar>
          <w:top w:w="0" w:type="dxa"/>
          <w:left w:w="0" w:type="dxa"/>
          <w:bottom w:w="0" w:type="dxa"/>
          <w:right w:w="0" w:type="dxa"/>
        </w:tblCellMar>
      </w:tblPr>
      <w:tblGrid>
        <w:gridCol w:w="1022"/>
        <w:gridCol w:w="1941"/>
        <w:gridCol w:w="1022"/>
        <w:gridCol w:w="1022"/>
        <w:gridCol w:w="1022"/>
        <w:gridCol w:w="1023"/>
        <w:gridCol w:w="1023"/>
        <w:gridCol w:w="1025"/>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561" w:type="pct"/>
            <w:tcBorders>
              <w:tl2br w:val="nil"/>
              <w:tr2bl w:val="nil"/>
            </w:tcBorders>
            <w:shd w:val="clear" w:color="auto" w:fill="auto"/>
            <w:noWrap/>
            <w:tcMar>
              <w:top w:w="15" w:type="dxa"/>
              <w:left w:w="15" w:type="dxa"/>
              <w:right w:w="15" w:type="dxa"/>
            </w:tcMar>
            <w:vAlign w:val="bottom"/>
          </w:tcPr>
          <w:p>
            <w:pPr>
              <w:pStyle w:val="23"/>
              <w:bidi w:val="0"/>
            </w:pPr>
            <w:r>
              <w:rPr>
                <w:rFonts w:hint="eastAsia"/>
                <w:lang w:val="en-US" w:eastAsia="zh-CN"/>
              </w:rPr>
              <w:t>序号</w:t>
            </w:r>
          </w:p>
        </w:tc>
        <w:tc>
          <w:tcPr>
            <w:tcW w:w="1065"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项目</w:t>
            </w:r>
          </w:p>
        </w:tc>
        <w:tc>
          <w:tcPr>
            <w:tcW w:w="561"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 xml:space="preserve"> 挖方</w:t>
            </w:r>
          </w:p>
        </w:tc>
        <w:tc>
          <w:tcPr>
            <w:tcW w:w="561"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填方</w:t>
            </w:r>
          </w:p>
        </w:tc>
        <w:tc>
          <w:tcPr>
            <w:tcW w:w="561"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调入</w:t>
            </w:r>
          </w:p>
        </w:tc>
        <w:tc>
          <w:tcPr>
            <w:tcW w:w="561"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调出</w:t>
            </w:r>
          </w:p>
        </w:tc>
        <w:tc>
          <w:tcPr>
            <w:tcW w:w="561"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借方</w:t>
            </w:r>
          </w:p>
        </w:tc>
        <w:tc>
          <w:tcPr>
            <w:tcW w:w="562"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弃方</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561"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①</w:t>
            </w:r>
          </w:p>
        </w:tc>
        <w:tc>
          <w:tcPr>
            <w:tcW w:w="1065"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表土剥离与回覆</w:t>
            </w:r>
          </w:p>
        </w:tc>
        <w:tc>
          <w:tcPr>
            <w:tcW w:w="561"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0.09</w:t>
            </w:r>
          </w:p>
        </w:tc>
        <w:tc>
          <w:tcPr>
            <w:tcW w:w="561"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0.09</w:t>
            </w:r>
          </w:p>
        </w:tc>
        <w:tc>
          <w:tcPr>
            <w:tcW w:w="561" w:type="pct"/>
            <w:tcBorders>
              <w:tl2br w:val="nil"/>
              <w:tr2bl w:val="nil"/>
            </w:tcBorders>
            <w:shd w:val="clear" w:color="auto" w:fill="auto"/>
            <w:noWrap/>
            <w:tcMar>
              <w:top w:w="15" w:type="dxa"/>
              <w:left w:w="15" w:type="dxa"/>
              <w:right w:w="15" w:type="dxa"/>
            </w:tcMar>
            <w:vAlign w:val="bottom"/>
          </w:tcPr>
          <w:p>
            <w:pPr>
              <w:pStyle w:val="23"/>
              <w:bidi w:val="0"/>
              <w:rPr>
                <w:rFonts w:hint="eastAsia"/>
              </w:rPr>
            </w:pPr>
          </w:p>
        </w:tc>
        <w:tc>
          <w:tcPr>
            <w:tcW w:w="561" w:type="pct"/>
            <w:tcBorders>
              <w:tl2br w:val="nil"/>
              <w:tr2bl w:val="nil"/>
            </w:tcBorders>
            <w:shd w:val="clear" w:color="auto" w:fill="auto"/>
            <w:noWrap/>
            <w:tcMar>
              <w:top w:w="15" w:type="dxa"/>
              <w:left w:w="15" w:type="dxa"/>
              <w:right w:w="15" w:type="dxa"/>
            </w:tcMar>
            <w:vAlign w:val="bottom"/>
          </w:tcPr>
          <w:p>
            <w:pPr>
              <w:pStyle w:val="23"/>
              <w:bidi w:val="0"/>
              <w:rPr>
                <w:rFonts w:hint="eastAsia"/>
              </w:rPr>
            </w:pPr>
          </w:p>
        </w:tc>
        <w:tc>
          <w:tcPr>
            <w:tcW w:w="561" w:type="pct"/>
            <w:tcBorders>
              <w:tl2br w:val="nil"/>
              <w:tr2bl w:val="nil"/>
            </w:tcBorders>
            <w:shd w:val="clear" w:color="auto" w:fill="auto"/>
            <w:noWrap/>
            <w:tcMar>
              <w:top w:w="15" w:type="dxa"/>
              <w:left w:w="15" w:type="dxa"/>
              <w:right w:w="15" w:type="dxa"/>
            </w:tcMar>
            <w:vAlign w:val="bottom"/>
          </w:tcPr>
          <w:p>
            <w:pPr>
              <w:pStyle w:val="23"/>
              <w:bidi w:val="0"/>
              <w:rPr>
                <w:rFonts w:hint="eastAsia"/>
              </w:rPr>
            </w:pPr>
          </w:p>
        </w:tc>
        <w:tc>
          <w:tcPr>
            <w:tcW w:w="562" w:type="pct"/>
            <w:tcBorders>
              <w:tl2br w:val="nil"/>
              <w:tr2bl w:val="nil"/>
            </w:tcBorders>
            <w:shd w:val="clear" w:color="auto" w:fill="auto"/>
            <w:noWrap/>
            <w:tcMar>
              <w:top w:w="15" w:type="dxa"/>
              <w:left w:w="15" w:type="dxa"/>
              <w:right w:w="15" w:type="dxa"/>
            </w:tcMar>
            <w:vAlign w:val="bottom"/>
          </w:tcPr>
          <w:p>
            <w:pPr>
              <w:pStyle w:val="23"/>
              <w:bidi w:val="0"/>
              <w:rPr>
                <w:rFonts w:hint="eastAsia"/>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561"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②</w:t>
            </w:r>
          </w:p>
        </w:tc>
        <w:tc>
          <w:tcPr>
            <w:tcW w:w="1065"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场地平整</w:t>
            </w:r>
          </w:p>
        </w:tc>
        <w:tc>
          <w:tcPr>
            <w:tcW w:w="561"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2.41</w:t>
            </w:r>
          </w:p>
        </w:tc>
        <w:tc>
          <w:tcPr>
            <w:tcW w:w="561"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12.41</w:t>
            </w:r>
          </w:p>
        </w:tc>
        <w:tc>
          <w:tcPr>
            <w:tcW w:w="561"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10</w:t>
            </w:r>
          </w:p>
        </w:tc>
        <w:tc>
          <w:tcPr>
            <w:tcW w:w="561" w:type="pct"/>
            <w:tcBorders>
              <w:tl2br w:val="nil"/>
              <w:tr2bl w:val="nil"/>
            </w:tcBorders>
            <w:shd w:val="clear" w:color="auto" w:fill="auto"/>
            <w:noWrap/>
            <w:tcMar>
              <w:top w:w="15" w:type="dxa"/>
              <w:left w:w="15" w:type="dxa"/>
              <w:right w:w="15" w:type="dxa"/>
            </w:tcMar>
            <w:vAlign w:val="bottom"/>
          </w:tcPr>
          <w:p>
            <w:pPr>
              <w:pStyle w:val="23"/>
              <w:bidi w:val="0"/>
              <w:rPr>
                <w:rFonts w:hint="eastAsia"/>
              </w:rPr>
            </w:pPr>
          </w:p>
        </w:tc>
        <w:tc>
          <w:tcPr>
            <w:tcW w:w="561"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10</w:t>
            </w:r>
          </w:p>
        </w:tc>
        <w:tc>
          <w:tcPr>
            <w:tcW w:w="562" w:type="pct"/>
            <w:tcBorders>
              <w:tl2br w:val="nil"/>
              <w:tr2bl w:val="nil"/>
            </w:tcBorders>
            <w:shd w:val="clear" w:color="auto" w:fill="auto"/>
            <w:noWrap/>
            <w:tcMar>
              <w:top w:w="15" w:type="dxa"/>
              <w:left w:w="15" w:type="dxa"/>
              <w:right w:w="15" w:type="dxa"/>
            </w:tcMar>
            <w:vAlign w:val="bottom"/>
          </w:tcPr>
          <w:p>
            <w:pPr>
              <w:pStyle w:val="23"/>
              <w:bidi w:val="0"/>
              <w:rPr>
                <w:rFonts w:hint="eastAsia"/>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561"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③</w:t>
            </w:r>
          </w:p>
        </w:tc>
        <w:tc>
          <w:tcPr>
            <w:tcW w:w="1065"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工程建设期</w:t>
            </w:r>
          </w:p>
        </w:tc>
        <w:tc>
          <w:tcPr>
            <w:tcW w:w="561"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0.39</w:t>
            </w:r>
          </w:p>
        </w:tc>
        <w:tc>
          <w:tcPr>
            <w:tcW w:w="561"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0.39</w:t>
            </w:r>
          </w:p>
        </w:tc>
        <w:tc>
          <w:tcPr>
            <w:tcW w:w="561" w:type="pct"/>
            <w:tcBorders>
              <w:tl2br w:val="nil"/>
              <w:tr2bl w:val="nil"/>
            </w:tcBorders>
            <w:shd w:val="clear" w:color="auto" w:fill="auto"/>
            <w:noWrap/>
            <w:tcMar>
              <w:top w:w="15" w:type="dxa"/>
              <w:left w:w="15" w:type="dxa"/>
              <w:right w:w="15" w:type="dxa"/>
            </w:tcMar>
            <w:vAlign w:val="bottom"/>
          </w:tcPr>
          <w:p>
            <w:pPr>
              <w:pStyle w:val="23"/>
              <w:bidi w:val="0"/>
              <w:rPr>
                <w:rFonts w:hint="eastAsia"/>
              </w:rPr>
            </w:pPr>
          </w:p>
        </w:tc>
        <w:tc>
          <w:tcPr>
            <w:tcW w:w="561" w:type="pct"/>
            <w:tcBorders>
              <w:tl2br w:val="nil"/>
              <w:tr2bl w:val="nil"/>
            </w:tcBorders>
            <w:shd w:val="clear" w:color="auto" w:fill="auto"/>
            <w:noWrap/>
            <w:tcMar>
              <w:top w:w="15" w:type="dxa"/>
              <w:left w:w="15" w:type="dxa"/>
              <w:right w:w="15" w:type="dxa"/>
            </w:tcMar>
            <w:vAlign w:val="bottom"/>
          </w:tcPr>
          <w:p>
            <w:pPr>
              <w:pStyle w:val="23"/>
              <w:bidi w:val="0"/>
              <w:rPr>
                <w:rFonts w:hint="eastAsia"/>
              </w:rPr>
            </w:pPr>
          </w:p>
        </w:tc>
        <w:tc>
          <w:tcPr>
            <w:tcW w:w="561" w:type="pct"/>
            <w:tcBorders>
              <w:tl2br w:val="nil"/>
              <w:tr2bl w:val="nil"/>
            </w:tcBorders>
            <w:shd w:val="clear" w:color="auto" w:fill="auto"/>
            <w:noWrap/>
            <w:tcMar>
              <w:top w:w="15" w:type="dxa"/>
              <w:left w:w="15" w:type="dxa"/>
              <w:right w:w="15" w:type="dxa"/>
            </w:tcMar>
            <w:vAlign w:val="bottom"/>
          </w:tcPr>
          <w:p>
            <w:pPr>
              <w:pStyle w:val="23"/>
              <w:bidi w:val="0"/>
              <w:rPr>
                <w:rFonts w:hint="eastAsia"/>
              </w:rPr>
            </w:pPr>
          </w:p>
        </w:tc>
        <w:tc>
          <w:tcPr>
            <w:tcW w:w="562" w:type="pct"/>
            <w:tcBorders>
              <w:tl2br w:val="nil"/>
              <w:tr2bl w:val="nil"/>
            </w:tcBorders>
            <w:shd w:val="clear" w:color="auto" w:fill="auto"/>
            <w:noWrap/>
            <w:tcMar>
              <w:top w:w="15" w:type="dxa"/>
              <w:left w:w="15" w:type="dxa"/>
              <w:right w:w="15" w:type="dxa"/>
            </w:tcMar>
            <w:vAlign w:val="bottom"/>
          </w:tcPr>
          <w:p>
            <w:pPr>
              <w:pStyle w:val="23"/>
              <w:bidi w:val="0"/>
              <w:rPr>
                <w:rFonts w:hint="eastAsia"/>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561"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合计</w:t>
            </w:r>
          </w:p>
        </w:tc>
        <w:tc>
          <w:tcPr>
            <w:tcW w:w="1065" w:type="pct"/>
            <w:tcBorders>
              <w:tl2br w:val="nil"/>
              <w:tr2bl w:val="nil"/>
            </w:tcBorders>
            <w:shd w:val="clear" w:color="auto" w:fill="auto"/>
            <w:noWrap/>
            <w:tcMar>
              <w:top w:w="15" w:type="dxa"/>
              <w:left w:w="15" w:type="dxa"/>
              <w:right w:w="15" w:type="dxa"/>
            </w:tcMar>
            <w:vAlign w:val="bottom"/>
          </w:tcPr>
          <w:p>
            <w:pPr>
              <w:pStyle w:val="23"/>
              <w:bidi w:val="0"/>
              <w:rPr>
                <w:rFonts w:hint="eastAsia"/>
              </w:rPr>
            </w:pPr>
          </w:p>
        </w:tc>
        <w:tc>
          <w:tcPr>
            <w:tcW w:w="561"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2.89</w:t>
            </w:r>
          </w:p>
        </w:tc>
        <w:tc>
          <w:tcPr>
            <w:tcW w:w="561"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12.89</w:t>
            </w:r>
          </w:p>
        </w:tc>
        <w:tc>
          <w:tcPr>
            <w:tcW w:w="561"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10</w:t>
            </w:r>
          </w:p>
        </w:tc>
        <w:tc>
          <w:tcPr>
            <w:tcW w:w="561" w:type="pct"/>
            <w:tcBorders>
              <w:tl2br w:val="nil"/>
              <w:tr2bl w:val="nil"/>
            </w:tcBorders>
            <w:shd w:val="clear" w:color="auto" w:fill="auto"/>
            <w:noWrap/>
            <w:tcMar>
              <w:top w:w="15" w:type="dxa"/>
              <w:left w:w="15" w:type="dxa"/>
              <w:right w:w="15" w:type="dxa"/>
            </w:tcMar>
            <w:vAlign w:val="bottom"/>
          </w:tcPr>
          <w:p>
            <w:pPr>
              <w:pStyle w:val="23"/>
              <w:bidi w:val="0"/>
              <w:rPr>
                <w:rFonts w:hint="eastAsia"/>
              </w:rPr>
            </w:pPr>
          </w:p>
        </w:tc>
        <w:tc>
          <w:tcPr>
            <w:tcW w:w="561"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10</w:t>
            </w:r>
          </w:p>
        </w:tc>
        <w:tc>
          <w:tcPr>
            <w:tcW w:w="562" w:type="pct"/>
            <w:tcBorders>
              <w:tl2br w:val="nil"/>
              <w:tr2bl w:val="nil"/>
            </w:tcBorders>
            <w:shd w:val="clear" w:color="auto" w:fill="auto"/>
            <w:noWrap/>
            <w:tcMar>
              <w:top w:w="15" w:type="dxa"/>
              <w:left w:w="15" w:type="dxa"/>
              <w:right w:w="15" w:type="dxa"/>
            </w:tcMar>
            <w:vAlign w:val="bottom"/>
          </w:tcPr>
          <w:p>
            <w:pPr>
              <w:pStyle w:val="23"/>
              <w:bidi w:val="0"/>
              <w:rPr>
                <w:rFonts w:hint="eastAsia"/>
              </w:rPr>
            </w:pPr>
          </w:p>
        </w:tc>
      </w:tr>
    </w:tbl>
    <w:p>
      <w:pPr>
        <w:pStyle w:val="5"/>
        <w:rPr>
          <w:rFonts w:cs="Times New Roman"/>
        </w:rPr>
      </w:pPr>
      <w:r>
        <w:rPr>
          <w:rFonts w:cs="Times New Roman"/>
        </w:rPr>
        <w:t>工程投资</w:t>
      </w:r>
    </w:p>
    <w:p>
      <w:pPr>
        <w:ind w:firstLine="480"/>
        <w:rPr>
          <w:rFonts w:cs="Times New Roman"/>
          <w:color w:val="000000"/>
          <w:lang w:bidi="zh-TW"/>
        </w:rPr>
      </w:pPr>
      <w:r>
        <w:rPr>
          <w:rFonts w:hint="eastAsia"/>
        </w:rPr>
        <w:t>工程总投资</w:t>
      </w:r>
      <w:r>
        <w:rPr>
          <w:rFonts w:hint="eastAsia"/>
          <w:lang w:eastAsia="zh-CN"/>
        </w:rPr>
        <w:t>24000</w:t>
      </w:r>
      <w:r>
        <w:rPr>
          <w:rFonts w:hint="eastAsia"/>
        </w:rPr>
        <w:t>万元，其中土建投资9230.50万元，资金来源为资本金及银行贷款。</w:t>
      </w:r>
    </w:p>
    <w:p>
      <w:pPr>
        <w:pStyle w:val="5"/>
        <w:rPr>
          <w:rFonts w:cs="Times New Roman"/>
        </w:rPr>
      </w:pPr>
      <w:r>
        <w:rPr>
          <w:rFonts w:cs="Times New Roman"/>
        </w:rPr>
        <w:t>施工工期</w:t>
      </w:r>
    </w:p>
    <w:p>
      <w:pPr>
        <w:ind w:firstLine="480"/>
        <w:rPr>
          <w:rFonts w:cs="Times New Roman"/>
          <w:color w:val="000000"/>
          <w:kern w:val="0"/>
        </w:rPr>
      </w:pPr>
      <w:r>
        <w:rPr>
          <w:rFonts w:cs="Times New Roman"/>
        </w:rPr>
        <w:t>本项目计划于</w:t>
      </w:r>
      <w:r>
        <w:rPr>
          <w:rFonts w:hint="eastAsia" w:cs="Times New Roman"/>
          <w:lang w:eastAsia="zh-CN"/>
        </w:rPr>
        <w:t>2016年9月</w:t>
      </w:r>
      <w:r>
        <w:rPr>
          <w:rFonts w:cs="Times New Roman"/>
        </w:rPr>
        <w:t>开工，预计</w:t>
      </w:r>
      <w:r>
        <w:rPr>
          <w:rFonts w:hint="eastAsia" w:cs="Times New Roman"/>
          <w:lang w:eastAsia="zh-CN"/>
        </w:rPr>
        <w:t>2017年9月</w:t>
      </w:r>
      <w:r>
        <w:rPr>
          <w:rFonts w:cs="Times New Roman"/>
        </w:rPr>
        <w:t>完工，计划总工期</w:t>
      </w:r>
      <w:r>
        <w:rPr>
          <w:rFonts w:hint="eastAsia" w:cs="Times New Roman"/>
          <w:lang w:eastAsia="zh-CN"/>
        </w:rPr>
        <w:t>13个月</w:t>
      </w:r>
      <w:r>
        <w:rPr>
          <w:rFonts w:hint="eastAsia"/>
        </w:rPr>
        <w:t>。实际于</w:t>
      </w:r>
      <w:r>
        <w:rPr>
          <w:rFonts w:hint="eastAsia" w:cs="Times New Roman"/>
          <w:lang w:eastAsia="zh-CN"/>
        </w:rPr>
        <w:t>2016年9月</w:t>
      </w:r>
      <w:r>
        <w:rPr>
          <w:rFonts w:cs="Times New Roman"/>
        </w:rPr>
        <w:t>开工，</w:t>
      </w:r>
      <w:r>
        <w:rPr>
          <w:rFonts w:hint="eastAsia" w:cs="Times New Roman"/>
        </w:rPr>
        <w:t>已</w:t>
      </w:r>
      <w:r>
        <w:rPr>
          <w:rFonts w:hint="eastAsia" w:cs="Times New Roman"/>
          <w:lang w:eastAsia="zh-CN"/>
        </w:rPr>
        <w:t>2017年9月</w:t>
      </w:r>
      <w:r>
        <w:rPr>
          <w:rFonts w:cs="Times New Roman"/>
        </w:rPr>
        <w:t>完工并投入试运行，</w:t>
      </w:r>
      <w:r>
        <w:rPr>
          <w:rFonts w:hint="eastAsia" w:cs="Times New Roman"/>
        </w:rPr>
        <w:t>实际</w:t>
      </w:r>
      <w:r>
        <w:rPr>
          <w:rFonts w:cs="Times New Roman"/>
        </w:rPr>
        <w:t>建设总工期</w:t>
      </w:r>
      <w:r>
        <w:rPr>
          <w:rFonts w:hint="eastAsia" w:cs="Times New Roman"/>
          <w:lang w:eastAsia="zh-CN"/>
        </w:rPr>
        <w:t>13个月</w:t>
      </w:r>
      <w:r>
        <w:rPr>
          <w:rFonts w:hint="eastAsia"/>
        </w:rPr>
        <w:t>。</w:t>
      </w:r>
    </w:p>
    <w:p>
      <w:pPr>
        <w:pStyle w:val="4"/>
        <w:rPr>
          <w:rFonts w:cs="Times New Roman"/>
        </w:rPr>
      </w:pPr>
      <w:r>
        <w:rPr>
          <w:rFonts w:cs="Times New Roman"/>
        </w:rPr>
        <w:t>项目区概况</w:t>
      </w:r>
    </w:p>
    <w:p>
      <w:pPr>
        <w:pStyle w:val="5"/>
        <w:rPr>
          <w:rFonts w:cs="Times New Roman"/>
        </w:rPr>
      </w:pPr>
      <w:r>
        <w:rPr>
          <w:rFonts w:cs="Times New Roman"/>
        </w:rPr>
        <w:t>地形地貌</w:t>
      </w:r>
    </w:p>
    <w:p>
      <w:pPr>
        <w:ind w:firstLine="480"/>
        <w:rPr>
          <w:rFonts w:cs="Times New Roman"/>
          <w:color w:val="000000"/>
        </w:rPr>
      </w:pPr>
      <w:r>
        <w:rPr>
          <w:rFonts w:hint="eastAsia" w:cs="Times New Roman"/>
        </w:rPr>
        <w:t>工程场地位于天府新区新兴工业园，场地为浅丘地貌单元，地形整体较为平坦，局部存在深凹凼。拟建场地原地貌为耕地、林地、草地及园地，现已规划为工业用地，已进行了部分的地表清理工作。原地貌高程约507～514m，地块为西北-东南向长方形，整体北高南低、东高西低</w:t>
      </w:r>
      <w:r>
        <w:rPr>
          <w:rFonts w:hint="eastAsia" w:cs="Times New Roman"/>
          <w:color w:val="000000"/>
        </w:rPr>
        <w:t>。</w:t>
      </w:r>
    </w:p>
    <w:p>
      <w:pPr>
        <w:pStyle w:val="5"/>
        <w:rPr>
          <w:rFonts w:cs="Times New Roman"/>
        </w:rPr>
      </w:pPr>
      <w:r>
        <w:rPr>
          <w:rFonts w:hint="eastAsia" w:cs="Times New Roman"/>
        </w:rPr>
        <w:t>地质</w:t>
      </w:r>
    </w:p>
    <w:p>
      <w:pPr>
        <w:ind w:firstLine="480"/>
      </w:pPr>
      <w:r>
        <w:rPr>
          <w:rFonts w:hint="eastAsia"/>
        </w:rPr>
        <w:t>（1）地质构造</w:t>
      </w:r>
    </w:p>
    <w:p>
      <w:pPr>
        <w:ind w:firstLine="480"/>
      </w:pPr>
      <w:r>
        <w:rPr>
          <w:rFonts w:hint="eastAsia"/>
        </w:rPr>
        <w:t>项目区构造属新华夏系第三沉降带四川盆地西部，成都坳陷中部东侧，处于北东走向的龙门山褶断带和龙泉山褶断带之间。由于受喜马拉雅山运动的影响，两构造带相对上升，坳陷盆地内堆积了厚度不等的第四系冰水堆积层和冲洪积层，形成现今平原景观。在成都平原下伏基岩内存在东北走向的浦江—新津断裂和新都—磨盘山断裂及其他次生断裂。但除浦江—新津断裂在第四纪以来有间隙性活动外，其他隐伏断裂近期无明显活动特征。总体而言，该区域地质构造稳定。</w:t>
      </w:r>
    </w:p>
    <w:p>
      <w:pPr>
        <w:ind w:firstLine="480"/>
      </w:pPr>
      <w:r>
        <w:rPr>
          <w:rFonts w:hint="eastAsia"/>
        </w:rPr>
        <w:t>（2）地层岩性</w:t>
      </w:r>
    </w:p>
    <w:p>
      <w:pPr>
        <w:adjustRightInd w:val="0"/>
        <w:snapToGrid w:val="0"/>
        <w:spacing w:line="360" w:lineRule="auto"/>
        <w:ind w:firstLine="480" w:firstLineChars="200"/>
        <w:rPr>
          <w:iCs/>
          <w:color w:val="000000"/>
          <w:sz w:val="24"/>
        </w:rPr>
      </w:pPr>
      <w:r>
        <w:rPr>
          <w:iCs/>
          <w:color w:val="000000"/>
          <w:sz w:val="24"/>
        </w:rPr>
        <w:t>根据地勘报告，拟建场地地基土主要</w:t>
      </w:r>
      <w:r>
        <w:rPr>
          <w:bCs/>
          <w:sz w:val="24"/>
        </w:rPr>
        <w:t>分为四个工程地质层，即：</w:t>
      </w:r>
      <w:r>
        <w:rPr>
          <w:rFonts w:hAnsi="宋体"/>
          <w:bCs/>
          <w:sz w:val="24"/>
        </w:rPr>
        <w:t>①</w:t>
      </w:r>
      <w:r>
        <w:rPr>
          <w:bCs/>
          <w:sz w:val="24"/>
        </w:rPr>
        <w:t>第四系全新人工填土层（Q</w:t>
      </w:r>
      <w:r>
        <w:rPr>
          <w:bCs/>
          <w:sz w:val="24"/>
          <w:vertAlign w:val="subscript"/>
        </w:rPr>
        <w:t>4</w:t>
      </w:r>
      <w:r>
        <w:rPr>
          <w:bCs/>
          <w:sz w:val="24"/>
          <w:vertAlign w:val="superscript"/>
        </w:rPr>
        <w:t>ml</w:t>
      </w:r>
      <w:r>
        <w:rPr>
          <w:bCs/>
          <w:sz w:val="24"/>
        </w:rPr>
        <w:t>）、②</w:t>
      </w:r>
      <w:r>
        <w:rPr>
          <w:rFonts w:hAnsi="宋体"/>
          <w:sz w:val="24"/>
        </w:rPr>
        <w:t>第四系中下更新统冰水堆积粘土层（</w:t>
      </w:r>
      <w:r>
        <w:rPr>
          <w:sz w:val="24"/>
        </w:rPr>
        <w:t>Q</w:t>
      </w:r>
      <w:r>
        <w:rPr>
          <w:sz w:val="24"/>
          <w:vertAlign w:val="subscript"/>
        </w:rPr>
        <w:t>1+2</w:t>
      </w:r>
      <w:r>
        <w:rPr>
          <w:sz w:val="24"/>
          <w:vertAlign w:val="superscript"/>
        </w:rPr>
        <w:t>fgl</w:t>
      </w:r>
      <w:r>
        <w:rPr>
          <w:rFonts w:hAnsi="宋体"/>
          <w:sz w:val="24"/>
        </w:rPr>
        <w:t>）</w:t>
      </w:r>
      <w:r>
        <w:rPr>
          <w:bCs/>
          <w:sz w:val="24"/>
        </w:rPr>
        <w:t>、③</w:t>
      </w:r>
      <w:r>
        <w:rPr>
          <w:rFonts w:hAnsi="宋体"/>
          <w:sz w:val="24"/>
        </w:rPr>
        <w:t>第四系中下更新统冰水堆积粘土质卵石层（</w:t>
      </w:r>
      <w:r>
        <w:rPr>
          <w:sz w:val="24"/>
        </w:rPr>
        <w:t>Q</w:t>
      </w:r>
      <w:r>
        <w:rPr>
          <w:sz w:val="24"/>
          <w:vertAlign w:val="subscript"/>
        </w:rPr>
        <w:t>1+2</w:t>
      </w:r>
      <w:r>
        <w:rPr>
          <w:sz w:val="24"/>
          <w:vertAlign w:val="superscript"/>
        </w:rPr>
        <w:t>fgl</w:t>
      </w:r>
      <w:r>
        <w:rPr>
          <w:rFonts w:hAnsi="宋体"/>
          <w:sz w:val="24"/>
        </w:rPr>
        <w:t>）</w:t>
      </w:r>
      <w:r>
        <w:rPr>
          <w:bCs/>
          <w:sz w:val="24"/>
        </w:rPr>
        <w:t>、</w:t>
      </w:r>
      <w:r>
        <w:rPr>
          <w:rFonts w:hAnsi="宋体"/>
          <w:sz w:val="24"/>
        </w:rPr>
        <w:t>④</w:t>
      </w:r>
      <w:r>
        <w:rPr>
          <w:sz w:val="24"/>
        </w:rPr>
        <w:t>白垩系灌口组砂质泥岩层（K</w:t>
      </w:r>
      <w:r>
        <w:rPr>
          <w:sz w:val="24"/>
          <w:vertAlign w:val="subscript"/>
        </w:rPr>
        <w:t>2</w:t>
      </w:r>
      <w:r>
        <w:rPr>
          <w:sz w:val="24"/>
        </w:rPr>
        <w:t>g）</w:t>
      </w:r>
      <w:r>
        <w:rPr>
          <w:iCs/>
          <w:color w:val="000000"/>
          <w:sz w:val="24"/>
        </w:rPr>
        <w:t>：</w:t>
      </w:r>
    </w:p>
    <w:p>
      <w:pPr>
        <w:spacing w:line="360" w:lineRule="auto"/>
        <w:ind w:firstLine="480" w:firstLineChars="200"/>
        <w:rPr>
          <w:bCs/>
          <w:sz w:val="24"/>
        </w:rPr>
      </w:pPr>
      <w:r>
        <w:rPr>
          <w:bCs/>
          <w:sz w:val="24"/>
        </w:rPr>
        <w:t>(1) 第四系全新人工填土层（Q</w:t>
      </w:r>
      <w:r>
        <w:rPr>
          <w:bCs/>
          <w:sz w:val="24"/>
          <w:vertAlign w:val="subscript"/>
        </w:rPr>
        <w:t>4</w:t>
      </w:r>
      <w:r>
        <w:rPr>
          <w:bCs/>
          <w:sz w:val="24"/>
          <w:vertAlign w:val="superscript"/>
        </w:rPr>
        <w:t>ml</w:t>
      </w:r>
      <w:r>
        <w:rPr>
          <w:bCs/>
          <w:sz w:val="24"/>
        </w:rPr>
        <w:t>）</w:t>
      </w:r>
    </w:p>
    <w:p>
      <w:pPr>
        <w:spacing w:line="360" w:lineRule="auto"/>
        <w:ind w:firstLine="480" w:firstLineChars="200"/>
        <w:rPr>
          <w:sz w:val="24"/>
        </w:rPr>
      </w:pPr>
      <w:r>
        <w:rPr>
          <w:rFonts w:hAnsi="宋体"/>
          <w:bCs/>
          <w:sz w:val="24"/>
        </w:rPr>
        <w:t>①素填土：</w:t>
      </w:r>
      <w:r>
        <w:rPr>
          <w:rFonts w:hAnsi="宋体"/>
          <w:sz w:val="24"/>
        </w:rPr>
        <w:t>该层呈黄褐色稍湿，结构疏松。主要为场地整平时回填基岩碎块及粘性土，整个场地范围分布，层</w:t>
      </w:r>
      <w:r>
        <w:rPr>
          <w:sz w:val="24"/>
        </w:rPr>
        <w:t>厚3～6m。勘察期间正在回填。</w:t>
      </w:r>
    </w:p>
    <w:p>
      <w:pPr>
        <w:spacing w:line="360" w:lineRule="auto"/>
        <w:ind w:firstLine="480" w:firstLineChars="200"/>
        <w:rPr>
          <w:bCs/>
          <w:sz w:val="24"/>
        </w:rPr>
      </w:pPr>
      <w:r>
        <w:rPr>
          <w:sz w:val="24"/>
        </w:rPr>
        <w:t xml:space="preserve">(2) </w:t>
      </w:r>
      <w:r>
        <w:rPr>
          <w:rFonts w:hAnsi="宋体"/>
          <w:sz w:val="24"/>
        </w:rPr>
        <w:t>第四系中下更新统冰水堆积粘土层（</w:t>
      </w:r>
      <w:r>
        <w:rPr>
          <w:sz w:val="24"/>
        </w:rPr>
        <w:t>Q</w:t>
      </w:r>
      <w:r>
        <w:rPr>
          <w:sz w:val="24"/>
          <w:vertAlign w:val="subscript"/>
        </w:rPr>
        <w:t>1+2</w:t>
      </w:r>
      <w:r>
        <w:rPr>
          <w:sz w:val="24"/>
          <w:vertAlign w:val="superscript"/>
        </w:rPr>
        <w:t>fgl</w:t>
      </w:r>
      <w:r>
        <w:rPr>
          <w:rFonts w:hAnsi="宋体"/>
          <w:sz w:val="24"/>
        </w:rPr>
        <w:t>）</w:t>
      </w:r>
    </w:p>
    <w:p>
      <w:pPr>
        <w:spacing w:line="360" w:lineRule="auto"/>
        <w:ind w:firstLine="200"/>
        <w:rPr>
          <w:sz w:val="24"/>
        </w:rPr>
      </w:pPr>
      <w:r>
        <w:rPr>
          <w:bCs/>
          <w:sz w:val="24"/>
        </w:rPr>
        <w:t>②</w:t>
      </w:r>
      <w:r>
        <w:rPr>
          <w:bCs/>
          <w:sz w:val="24"/>
          <w:vertAlign w:val="subscript"/>
        </w:rPr>
        <w:t>1</w:t>
      </w:r>
      <w:r>
        <w:rPr>
          <w:spacing w:val="-6"/>
          <w:sz w:val="24"/>
        </w:rPr>
        <w:t>软塑粘土</w:t>
      </w:r>
      <w:r>
        <w:rPr>
          <w:sz w:val="24"/>
        </w:rPr>
        <w:t>：褐黄色，稍湿～较湿，含多量灰白色钙质结核及铁锰质氧化物，韧性及干强度高，切面光滑，无摇振反应，属高压缩性土，场地内局部分布。</w:t>
      </w:r>
    </w:p>
    <w:p>
      <w:pPr>
        <w:spacing w:line="360" w:lineRule="auto"/>
        <w:ind w:firstLine="200"/>
        <w:rPr>
          <w:sz w:val="24"/>
        </w:rPr>
      </w:pPr>
      <w:r>
        <w:rPr>
          <w:bCs/>
          <w:sz w:val="24"/>
        </w:rPr>
        <w:t>②</w:t>
      </w:r>
      <w:r>
        <w:rPr>
          <w:bCs/>
          <w:sz w:val="24"/>
          <w:vertAlign w:val="subscript"/>
        </w:rPr>
        <w:t>2</w:t>
      </w:r>
      <w:r>
        <w:rPr>
          <w:spacing w:val="-6"/>
          <w:sz w:val="24"/>
        </w:rPr>
        <w:t>可塑粘土</w:t>
      </w:r>
      <w:r>
        <w:rPr>
          <w:sz w:val="24"/>
        </w:rPr>
        <w:t>：褐黄色，稍湿～较湿，含多量灰白色钙质结核及铁锰质氧化物，韧性及干强度高，切面光滑，无摇振反应，属中等压缩性土，分布于整个场地。</w:t>
      </w:r>
    </w:p>
    <w:p>
      <w:pPr>
        <w:spacing w:line="360" w:lineRule="auto"/>
        <w:ind w:firstLine="480" w:firstLineChars="200"/>
        <w:rPr>
          <w:sz w:val="24"/>
        </w:rPr>
      </w:pPr>
      <w:r>
        <w:rPr>
          <w:bCs/>
          <w:sz w:val="24"/>
        </w:rPr>
        <w:t xml:space="preserve">(3) </w:t>
      </w:r>
      <w:r>
        <w:rPr>
          <w:rFonts w:hAnsi="宋体"/>
          <w:sz w:val="24"/>
        </w:rPr>
        <w:t>第四系中下更新统冰水堆积粘土质卵石层（</w:t>
      </w:r>
      <w:r>
        <w:rPr>
          <w:sz w:val="24"/>
        </w:rPr>
        <w:t>Q</w:t>
      </w:r>
      <w:r>
        <w:rPr>
          <w:sz w:val="24"/>
          <w:vertAlign w:val="subscript"/>
        </w:rPr>
        <w:t>1+2</w:t>
      </w:r>
      <w:r>
        <w:rPr>
          <w:sz w:val="24"/>
          <w:vertAlign w:val="superscript"/>
        </w:rPr>
        <w:t>fgl</w:t>
      </w:r>
      <w:r>
        <w:rPr>
          <w:rFonts w:hAnsi="宋体"/>
          <w:sz w:val="24"/>
        </w:rPr>
        <w:t>）</w:t>
      </w:r>
    </w:p>
    <w:p>
      <w:pPr>
        <w:spacing w:line="360" w:lineRule="auto"/>
        <w:ind w:firstLine="480" w:firstLineChars="200"/>
        <w:rPr>
          <w:sz w:val="24"/>
        </w:rPr>
      </w:pPr>
      <w:r>
        <w:rPr>
          <w:bCs/>
          <w:sz w:val="24"/>
        </w:rPr>
        <w:t>③</w:t>
      </w:r>
      <w:r>
        <w:rPr>
          <w:rFonts w:hAnsi="宋体"/>
          <w:sz w:val="24"/>
        </w:rPr>
        <w:t>粘土质卵石</w:t>
      </w:r>
      <w:r>
        <w:rPr>
          <w:sz w:val="24"/>
        </w:rPr>
        <w:t>：</w:t>
      </w:r>
      <w:r>
        <w:rPr>
          <w:rFonts w:hAnsi="宋体"/>
          <w:sz w:val="24"/>
        </w:rPr>
        <w:t>俗称</w:t>
      </w:r>
      <w:r>
        <w:rPr>
          <w:sz w:val="24"/>
        </w:rPr>
        <w:t>“</w:t>
      </w:r>
      <w:r>
        <w:rPr>
          <w:rFonts w:hAnsi="宋体"/>
          <w:sz w:val="24"/>
        </w:rPr>
        <w:t>泥夹石</w:t>
      </w:r>
      <w:r>
        <w:rPr>
          <w:sz w:val="24"/>
        </w:rPr>
        <w:t>”</w:t>
      </w:r>
      <w:r>
        <w:rPr>
          <w:rFonts w:hAnsi="宋体"/>
          <w:sz w:val="24"/>
        </w:rPr>
        <w:t>。场地内局部分布，位于粘性土层之下，主要呈稍密状，卵石母岩成分主要有石英岩、花岗岩等。呈褐黄色或灰色，圆形、亚圆形，颗粒粒径一</w:t>
      </w:r>
      <w:r>
        <w:rPr>
          <w:sz w:val="24"/>
        </w:rPr>
        <w:t>般在6cm～14cm之间，其间为粘性土充填。</w:t>
      </w:r>
    </w:p>
    <w:p>
      <w:pPr>
        <w:spacing w:line="360" w:lineRule="auto"/>
        <w:ind w:firstLine="480" w:firstLineChars="200"/>
        <w:rPr>
          <w:sz w:val="24"/>
        </w:rPr>
      </w:pPr>
      <w:r>
        <w:rPr>
          <w:bCs/>
          <w:sz w:val="24"/>
        </w:rPr>
        <w:t xml:space="preserve">(4) </w:t>
      </w:r>
      <w:r>
        <w:rPr>
          <w:sz w:val="24"/>
        </w:rPr>
        <w:t>白垩系灌口组砂质泥岩层（K</w:t>
      </w:r>
      <w:r>
        <w:rPr>
          <w:sz w:val="24"/>
          <w:vertAlign w:val="subscript"/>
        </w:rPr>
        <w:t>2</w:t>
      </w:r>
      <w:r>
        <w:rPr>
          <w:sz w:val="24"/>
        </w:rPr>
        <w:t>g）</w:t>
      </w:r>
    </w:p>
    <w:p>
      <w:pPr>
        <w:spacing w:line="360" w:lineRule="auto"/>
        <w:ind w:firstLine="480" w:firstLineChars="200"/>
        <w:rPr>
          <w:sz w:val="24"/>
        </w:rPr>
      </w:pPr>
      <w:r>
        <w:rPr>
          <w:rFonts w:hAnsi="宋体"/>
          <w:sz w:val="24"/>
        </w:rPr>
        <w:t>④</w:t>
      </w:r>
      <w:r>
        <w:rPr>
          <w:bCs/>
          <w:sz w:val="24"/>
          <w:vertAlign w:val="subscript"/>
        </w:rPr>
        <w:t>1</w:t>
      </w:r>
      <w:r>
        <w:rPr>
          <w:sz w:val="24"/>
        </w:rPr>
        <w:t>全风化砂质泥岩：褐红色、紫红色，</w:t>
      </w:r>
      <w:r>
        <w:rPr>
          <w:bCs/>
          <w:sz w:val="24"/>
        </w:rPr>
        <w:t>岩体结构极破碎，已风化成土状，主要呈可塑状，用手揉搓成粉末状，</w:t>
      </w:r>
      <w:r>
        <w:rPr>
          <w:sz w:val="24"/>
        </w:rPr>
        <w:t>分布于整个场地</w:t>
      </w:r>
      <w:r>
        <w:rPr>
          <w:bCs/>
          <w:sz w:val="24"/>
        </w:rPr>
        <w:t>。</w:t>
      </w:r>
    </w:p>
    <w:p>
      <w:pPr>
        <w:spacing w:line="360" w:lineRule="auto"/>
        <w:ind w:firstLine="480" w:firstLineChars="200"/>
        <w:rPr>
          <w:sz w:val="24"/>
        </w:rPr>
      </w:pPr>
      <w:r>
        <w:rPr>
          <w:rFonts w:hAnsi="宋体"/>
          <w:sz w:val="24"/>
        </w:rPr>
        <w:t>④</w:t>
      </w:r>
      <w:r>
        <w:rPr>
          <w:bCs/>
          <w:sz w:val="24"/>
          <w:vertAlign w:val="subscript"/>
        </w:rPr>
        <w:t>2</w:t>
      </w:r>
      <w:r>
        <w:rPr>
          <w:sz w:val="24"/>
        </w:rPr>
        <w:t>强风化砂质泥岩：褐红色、紫红色，组织结构大部分破坏，</w:t>
      </w:r>
      <w:r>
        <w:rPr>
          <w:sz w:val="24"/>
          <w:szCs w:val="28"/>
        </w:rPr>
        <w:t>原岩结构不甚清晰</w:t>
      </w:r>
      <w:r>
        <w:rPr>
          <w:sz w:val="24"/>
        </w:rPr>
        <w:t>，风化裂隙发育，用镐可挖掘，短柱状，岩体浸水迅速软化、崩解。</w:t>
      </w:r>
    </w:p>
    <w:p>
      <w:pPr>
        <w:ind w:firstLine="480"/>
      </w:pPr>
      <w:r>
        <w:rPr>
          <w:rFonts w:hAnsi="宋体"/>
          <w:sz w:val="24"/>
        </w:rPr>
        <w:t>④</w:t>
      </w:r>
      <w:r>
        <w:rPr>
          <w:bCs/>
          <w:sz w:val="24"/>
          <w:vertAlign w:val="subscript"/>
        </w:rPr>
        <w:t>3</w:t>
      </w:r>
      <w:r>
        <w:rPr>
          <w:sz w:val="24"/>
        </w:rPr>
        <w:t>中等风化砂质泥岩：褐红色、紫红色，</w:t>
      </w:r>
      <w:r>
        <w:rPr>
          <w:rFonts w:hAnsi="宋体"/>
          <w:sz w:val="24"/>
        </w:rPr>
        <w:t>岩体结构清晰，岩体较完整，裂隙较发育，局部夹有强风化薄层，间隙充填褐色氧化铁、锰薄膜等。钻探取芯多呈</w:t>
      </w:r>
      <w:r>
        <w:rPr>
          <w:sz w:val="24"/>
        </w:rPr>
        <w:t>10</w:t>
      </w:r>
      <w:r>
        <w:rPr>
          <w:rFonts w:hAnsi="宋体"/>
          <w:sz w:val="24"/>
        </w:rPr>
        <w:t>～</w:t>
      </w:r>
      <w:r>
        <w:rPr>
          <w:sz w:val="24"/>
        </w:rPr>
        <w:t>30cm</w:t>
      </w:r>
      <w:r>
        <w:rPr>
          <w:rFonts w:hAnsi="宋体"/>
          <w:sz w:val="24"/>
        </w:rPr>
        <w:t>长柱状，局部呈碎块或短柱状</w:t>
      </w:r>
      <w:r>
        <w:rPr>
          <w:rFonts w:hint="eastAsia"/>
        </w:rPr>
        <w:t>。</w:t>
      </w:r>
    </w:p>
    <w:p>
      <w:pPr>
        <w:pStyle w:val="5"/>
        <w:rPr>
          <w:rFonts w:cs="Times New Roman"/>
        </w:rPr>
      </w:pPr>
      <w:r>
        <w:rPr>
          <w:rFonts w:cs="Times New Roman"/>
        </w:rPr>
        <w:t>气象</w:t>
      </w:r>
    </w:p>
    <w:p>
      <w:pPr>
        <w:ind w:firstLine="480"/>
        <w:rPr>
          <w:rFonts w:cs="Times New Roman"/>
        </w:rPr>
      </w:pPr>
      <w:r>
        <w:rPr>
          <w:rFonts w:hint="eastAsia" w:cs="Times New Roman"/>
        </w:rPr>
        <w:t>项目区属于亚热带湿润季风气候，具有热量丰富，雨量充沛，四季分明，雨热同季等特点。多年平均温度16.20℃，≥10℃积温5450℃。全年雨量充沛，年平均值947.0mm，汛期为每年的5～10月，降雨主要集中在7、8月。日照偏少，年平均日照1228.30h，太阳辐射量为90.94千卡/cm</w:t>
      </w:r>
      <w:r>
        <w:rPr>
          <w:rFonts w:hint="eastAsia" w:cs="Times New Roman"/>
          <w:vertAlign w:val="superscript"/>
        </w:rPr>
        <w:t>2</w:t>
      </w:r>
      <w:r>
        <w:rPr>
          <w:rFonts w:hint="eastAsia" w:cs="Times New Roman"/>
        </w:rPr>
        <w:t>，属全国低值区。全年无霜期为278天，初霜期一般出现在11月底，终霜期一般在2月下旬。相对湿度的多年平均值为82%，蒸发量的年平均值为1020.50mm。多年平均风速为1.2m/s，主导风向为NNE。</w:t>
      </w:r>
    </w:p>
    <w:p>
      <w:pPr>
        <w:ind w:firstLine="480"/>
        <w:rPr>
          <w:rFonts w:cs="Times New Roman"/>
        </w:rPr>
      </w:pPr>
      <w:r>
        <w:rPr>
          <w:rFonts w:hint="eastAsia" w:cs="Times New Roman"/>
        </w:rPr>
        <w:t>相关气象指标见下</w:t>
      </w:r>
      <w:r>
        <w:rPr>
          <w:rFonts w:cs="Times New Roman"/>
        </w:rPr>
        <w:t>表。</w:t>
      </w:r>
    </w:p>
    <w:p>
      <w:pPr>
        <w:pStyle w:val="6"/>
        <w:spacing w:before="156" w:after="156"/>
        <w:rPr>
          <w:rFonts w:cs="Times New Roman"/>
        </w:rPr>
      </w:pPr>
      <w:r>
        <w:rPr>
          <w:rFonts w:cs="Times New Roman"/>
        </w:rPr>
        <w:t>表 1.2</w:t>
      </w:r>
      <w:r>
        <w:rPr>
          <w:rFonts w:cs="Times New Roman"/>
        </w:rPr>
        <w:noBreakHyphen/>
      </w:r>
      <w:r>
        <w:rPr>
          <w:rFonts w:cs="Times New Roman"/>
        </w:rPr>
        <w:fldChar w:fldCharType="begin"/>
      </w:r>
      <w:r>
        <w:rPr>
          <w:rFonts w:cs="Times New Roman"/>
        </w:rPr>
        <w:instrText xml:space="preserve"> SEQ 表 \* ARABIC \s 2 </w:instrText>
      </w:r>
      <w:r>
        <w:rPr>
          <w:rFonts w:cs="Times New Roman"/>
        </w:rPr>
        <w:fldChar w:fldCharType="separate"/>
      </w:r>
      <w:r>
        <w:rPr>
          <w:rFonts w:cs="Times New Roman"/>
        </w:rPr>
        <w:t>2</w:t>
      </w:r>
      <w:r>
        <w:rPr>
          <w:rFonts w:cs="Times New Roman"/>
        </w:rPr>
        <w:fldChar w:fldCharType="end"/>
      </w:r>
      <w:r>
        <w:rPr>
          <w:rFonts w:cs="Times New Roman"/>
        </w:rPr>
        <w:t>项目区气象特征表</w:t>
      </w:r>
    </w:p>
    <w:tbl>
      <w:tblPr>
        <w:tblStyle w:val="13"/>
        <w:tblW w:w="4999"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3022"/>
        <w:gridCol w:w="3024"/>
        <w:gridCol w:w="3022"/>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1666" w:type="pct"/>
            <w:vMerge w:val="restart"/>
            <w:tcBorders>
              <w:tl2br w:val="nil"/>
              <w:tr2bl w:val="nil"/>
            </w:tcBorders>
            <w:noWrap w:val="0"/>
            <w:vAlign w:val="center"/>
          </w:tcPr>
          <w:p>
            <w:pPr>
              <w:pStyle w:val="23"/>
              <w:bidi w:val="0"/>
            </w:pPr>
            <w:r>
              <w:t>气温(</w:t>
            </w:r>
            <w:r>
              <w:rPr>
                <w:rFonts w:hint="eastAsia"/>
              </w:rPr>
              <w:t>℃</w:t>
            </w:r>
            <w:r>
              <w:t>)</w:t>
            </w:r>
          </w:p>
        </w:tc>
        <w:tc>
          <w:tcPr>
            <w:tcW w:w="1666" w:type="pct"/>
            <w:tcBorders>
              <w:tl2br w:val="nil"/>
              <w:tr2bl w:val="nil"/>
            </w:tcBorders>
            <w:noWrap w:val="0"/>
            <w:vAlign w:val="center"/>
          </w:tcPr>
          <w:p>
            <w:pPr>
              <w:pStyle w:val="23"/>
              <w:bidi w:val="0"/>
            </w:pPr>
            <w:r>
              <w:t>多年平均</w:t>
            </w:r>
          </w:p>
        </w:tc>
        <w:tc>
          <w:tcPr>
            <w:tcW w:w="1666" w:type="pct"/>
            <w:tcBorders>
              <w:tl2br w:val="nil"/>
              <w:tr2bl w:val="nil"/>
            </w:tcBorders>
            <w:noWrap w:val="0"/>
            <w:vAlign w:val="center"/>
          </w:tcPr>
          <w:p>
            <w:pPr>
              <w:pStyle w:val="23"/>
              <w:bidi w:val="0"/>
            </w:pPr>
            <w:r>
              <w:t>16.20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1666" w:type="pct"/>
            <w:vMerge w:val="continue"/>
            <w:tcBorders>
              <w:tl2br w:val="nil"/>
              <w:tr2bl w:val="nil"/>
            </w:tcBorders>
            <w:noWrap w:val="0"/>
            <w:vAlign w:val="center"/>
          </w:tcPr>
          <w:p>
            <w:pPr>
              <w:pStyle w:val="23"/>
              <w:bidi w:val="0"/>
            </w:pPr>
          </w:p>
        </w:tc>
        <w:tc>
          <w:tcPr>
            <w:tcW w:w="1666" w:type="pct"/>
            <w:tcBorders>
              <w:tl2br w:val="nil"/>
              <w:tr2bl w:val="nil"/>
            </w:tcBorders>
            <w:noWrap w:val="0"/>
            <w:vAlign w:val="center"/>
          </w:tcPr>
          <w:p>
            <w:pPr>
              <w:pStyle w:val="23"/>
              <w:bidi w:val="0"/>
            </w:pPr>
            <w:r>
              <w:t>极端最高</w:t>
            </w:r>
          </w:p>
        </w:tc>
        <w:tc>
          <w:tcPr>
            <w:tcW w:w="1666" w:type="pct"/>
            <w:tcBorders>
              <w:tl2br w:val="nil"/>
              <w:tr2bl w:val="nil"/>
            </w:tcBorders>
            <w:noWrap w:val="0"/>
            <w:vAlign w:val="center"/>
          </w:tcPr>
          <w:p>
            <w:pPr>
              <w:pStyle w:val="23"/>
              <w:bidi w:val="0"/>
            </w:pPr>
            <w:r>
              <w:t>37.30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1666" w:type="pct"/>
            <w:vMerge w:val="continue"/>
            <w:tcBorders>
              <w:tl2br w:val="nil"/>
              <w:tr2bl w:val="nil"/>
            </w:tcBorders>
            <w:noWrap w:val="0"/>
            <w:vAlign w:val="center"/>
          </w:tcPr>
          <w:p>
            <w:pPr>
              <w:pStyle w:val="23"/>
              <w:bidi w:val="0"/>
            </w:pPr>
          </w:p>
        </w:tc>
        <w:tc>
          <w:tcPr>
            <w:tcW w:w="1666" w:type="pct"/>
            <w:tcBorders>
              <w:tl2br w:val="nil"/>
              <w:tr2bl w:val="nil"/>
            </w:tcBorders>
            <w:noWrap w:val="0"/>
            <w:vAlign w:val="center"/>
          </w:tcPr>
          <w:p>
            <w:pPr>
              <w:pStyle w:val="23"/>
              <w:bidi w:val="0"/>
            </w:pPr>
            <w:r>
              <w:t>极端最低</w:t>
            </w:r>
          </w:p>
        </w:tc>
        <w:tc>
          <w:tcPr>
            <w:tcW w:w="1666" w:type="pct"/>
            <w:tcBorders>
              <w:tl2br w:val="nil"/>
              <w:tr2bl w:val="nil"/>
            </w:tcBorders>
            <w:noWrap w:val="0"/>
            <w:vAlign w:val="center"/>
          </w:tcPr>
          <w:p>
            <w:pPr>
              <w:pStyle w:val="23"/>
              <w:bidi w:val="0"/>
            </w:pPr>
            <w:r>
              <w:t>-5.90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1666" w:type="pct"/>
            <w:vMerge w:val="restart"/>
            <w:tcBorders>
              <w:tl2br w:val="nil"/>
              <w:tr2bl w:val="nil"/>
            </w:tcBorders>
            <w:noWrap w:val="0"/>
            <w:vAlign w:val="center"/>
          </w:tcPr>
          <w:p>
            <w:pPr>
              <w:pStyle w:val="23"/>
              <w:bidi w:val="0"/>
            </w:pPr>
            <w:r>
              <w:t>年降雨量</w:t>
            </w:r>
          </w:p>
          <w:p>
            <w:pPr>
              <w:pStyle w:val="23"/>
              <w:bidi w:val="0"/>
            </w:pPr>
            <w:r>
              <w:t>(mm)</w:t>
            </w:r>
          </w:p>
        </w:tc>
        <w:tc>
          <w:tcPr>
            <w:tcW w:w="1666" w:type="pct"/>
            <w:tcBorders>
              <w:tl2br w:val="nil"/>
              <w:tr2bl w:val="nil"/>
            </w:tcBorders>
            <w:noWrap w:val="0"/>
            <w:vAlign w:val="center"/>
          </w:tcPr>
          <w:p>
            <w:pPr>
              <w:pStyle w:val="23"/>
              <w:bidi w:val="0"/>
            </w:pPr>
            <w:r>
              <w:t>多年平均</w:t>
            </w:r>
          </w:p>
        </w:tc>
        <w:tc>
          <w:tcPr>
            <w:tcW w:w="1666" w:type="pct"/>
            <w:tcBorders>
              <w:tl2br w:val="nil"/>
              <w:tr2bl w:val="nil"/>
            </w:tcBorders>
            <w:noWrap w:val="0"/>
            <w:vAlign w:val="center"/>
          </w:tcPr>
          <w:p>
            <w:pPr>
              <w:pStyle w:val="23"/>
              <w:bidi w:val="0"/>
            </w:pPr>
            <w:r>
              <w:t>947.0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1666" w:type="pct"/>
            <w:vMerge w:val="continue"/>
            <w:tcBorders>
              <w:tl2br w:val="nil"/>
              <w:tr2bl w:val="nil"/>
            </w:tcBorders>
            <w:noWrap w:val="0"/>
            <w:vAlign w:val="center"/>
          </w:tcPr>
          <w:p>
            <w:pPr>
              <w:pStyle w:val="23"/>
              <w:bidi w:val="0"/>
            </w:pPr>
          </w:p>
        </w:tc>
        <w:tc>
          <w:tcPr>
            <w:tcW w:w="1666" w:type="pct"/>
            <w:tcBorders>
              <w:tl2br w:val="nil"/>
              <w:tr2bl w:val="nil"/>
            </w:tcBorders>
            <w:noWrap w:val="0"/>
            <w:vAlign w:val="center"/>
          </w:tcPr>
          <w:p>
            <w:pPr>
              <w:pStyle w:val="23"/>
              <w:bidi w:val="0"/>
            </w:pPr>
            <w:r>
              <w:t>最大</w:t>
            </w:r>
          </w:p>
        </w:tc>
        <w:tc>
          <w:tcPr>
            <w:tcW w:w="1666" w:type="pct"/>
            <w:tcBorders>
              <w:tl2br w:val="nil"/>
              <w:tr2bl w:val="nil"/>
            </w:tcBorders>
            <w:noWrap w:val="0"/>
            <w:vAlign w:val="center"/>
          </w:tcPr>
          <w:p>
            <w:pPr>
              <w:pStyle w:val="23"/>
              <w:bidi w:val="0"/>
            </w:pPr>
            <w:r>
              <w:t>1241.70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1666" w:type="pct"/>
            <w:vMerge w:val="continue"/>
            <w:tcBorders>
              <w:tl2br w:val="nil"/>
              <w:tr2bl w:val="nil"/>
            </w:tcBorders>
            <w:noWrap w:val="0"/>
            <w:vAlign w:val="center"/>
          </w:tcPr>
          <w:p>
            <w:pPr>
              <w:pStyle w:val="23"/>
              <w:bidi w:val="0"/>
            </w:pPr>
          </w:p>
        </w:tc>
        <w:tc>
          <w:tcPr>
            <w:tcW w:w="1666" w:type="pct"/>
            <w:tcBorders>
              <w:tl2br w:val="nil"/>
              <w:tr2bl w:val="nil"/>
            </w:tcBorders>
            <w:noWrap w:val="0"/>
            <w:vAlign w:val="center"/>
          </w:tcPr>
          <w:p>
            <w:pPr>
              <w:pStyle w:val="23"/>
              <w:bidi w:val="0"/>
            </w:pPr>
            <w:r>
              <w:t>最小</w:t>
            </w:r>
          </w:p>
        </w:tc>
        <w:tc>
          <w:tcPr>
            <w:tcW w:w="1666" w:type="pct"/>
            <w:tcBorders>
              <w:tl2br w:val="nil"/>
              <w:tr2bl w:val="nil"/>
            </w:tcBorders>
            <w:noWrap w:val="0"/>
            <w:vAlign w:val="center"/>
          </w:tcPr>
          <w:p>
            <w:pPr>
              <w:pStyle w:val="23"/>
              <w:bidi w:val="0"/>
            </w:pPr>
            <w:r>
              <w:t>754.90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29" w:hRule="atLeast"/>
          <w:jc w:val="center"/>
        </w:trPr>
        <w:tc>
          <w:tcPr>
            <w:tcW w:w="1666" w:type="pct"/>
            <w:vMerge w:val="restart"/>
            <w:tcBorders>
              <w:tl2br w:val="nil"/>
              <w:tr2bl w:val="nil"/>
            </w:tcBorders>
            <w:noWrap w:val="0"/>
            <w:vAlign w:val="center"/>
          </w:tcPr>
          <w:p>
            <w:pPr>
              <w:pStyle w:val="23"/>
              <w:bidi w:val="0"/>
            </w:pPr>
            <w:r>
              <w:t>地面温度</w:t>
            </w:r>
          </w:p>
          <w:p>
            <w:pPr>
              <w:pStyle w:val="23"/>
              <w:bidi w:val="0"/>
            </w:pPr>
            <w:r>
              <w:t>(</w:t>
            </w:r>
            <w:r>
              <w:rPr>
                <w:rFonts w:hint="eastAsia"/>
              </w:rPr>
              <w:t>℃</w:t>
            </w:r>
            <w:r>
              <w:t>)</w:t>
            </w:r>
          </w:p>
        </w:tc>
        <w:tc>
          <w:tcPr>
            <w:tcW w:w="1666" w:type="pct"/>
            <w:tcBorders>
              <w:tl2br w:val="nil"/>
              <w:tr2bl w:val="nil"/>
            </w:tcBorders>
            <w:noWrap w:val="0"/>
            <w:vAlign w:val="center"/>
          </w:tcPr>
          <w:p>
            <w:pPr>
              <w:pStyle w:val="23"/>
              <w:bidi w:val="0"/>
            </w:pPr>
            <w:r>
              <w:t>多年平均</w:t>
            </w:r>
          </w:p>
        </w:tc>
        <w:tc>
          <w:tcPr>
            <w:tcW w:w="1666" w:type="pct"/>
            <w:tcBorders>
              <w:tl2br w:val="nil"/>
              <w:tr2bl w:val="nil"/>
            </w:tcBorders>
            <w:noWrap w:val="0"/>
            <w:vAlign w:val="center"/>
          </w:tcPr>
          <w:p>
            <w:pPr>
              <w:pStyle w:val="23"/>
              <w:bidi w:val="0"/>
            </w:pPr>
            <w:r>
              <w:t>19.70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1666" w:type="pct"/>
            <w:vMerge w:val="continue"/>
            <w:tcBorders>
              <w:tl2br w:val="nil"/>
              <w:tr2bl w:val="nil"/>
            </w:tcBorders>
            <w:noWrap w:val="0"/>
            <w:vAlign w:val="center"/>
          </w:tcPr>
          <w:p>
            <w:pPr>
              <w:pStyle w:val="23"/>
              <w:bidi w:val="0"/>
            </w:pPr>
          </w:p>
        </w:tc>
        <w:tc>
          <w:tcPr>
            <w:tcW w:w="1666" w:type="pct"/>
            <w:tcBorders>
              <w:tl2br w:val="nil"/>
              <w:tr2bl w:val="nil"/>
            </w:tcBorders>
            <w:noWrap w:val="0"/>
            <w:vAlign w:val="center"/>
          </w:tcPr>
          <w:p>
            <w:pPr>
              <w:pStyle w:val="23"/>
              <w:bidi w:val="0"/>
            </w:pPr>
            <w:r>
              <w:t>极端最高</w:t>
            </w:r>
          </w:p>
        </w:tc>
        <w:tc>
          <w:tcPr>
            <w:tcW w:w="1666" w:type="pct"/>
            <w:tcBorders>
              <w:tl2br w:val="nil"/>
              <w:tr2bl w:val="nil"/>
            </w:tcBorders>
            <w:noWrap w:val="0"/>
            <w:vAlign w:val="center"/>
          </w:tcPr>
          <w:p>
            <w:pPr>
              <w:pStyle w:val="23"/>
              <w:bidi w:val="0"/>
            </w:pPr>
            <w:r>
              <w:t>58.50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3333" w:type="pct"/>
            <w:gridSpan w:val="2"/>
            <w:tcBorders>
              <w:tl2br w:val="nil"/>
              <w:tr2bl w:val="nil"/>
            </w:tcBorders>
            <w:noWrap w:val="0"/>
            <w:vAlign w:val="center"/>
          </w:tcPr>
          <w:p>
            <w:pPr>
              <w:pStyle w:val="23"/>
              <w:bidi w:val="0"/>
            </w:pPr>
            <w:r>
              <w:t>主导风向</w:t>
            </w:r>
          </w:p>
        </w:tc>
        <w:tc>
          <w:tcPr>
            <w:tcW w:w="1666" w:type="pct"/>
            <w:tcBorders>
              <w:tl2br w:val="nil"/>
              <w:tr2bl w:val="nil"/>
            </w:tcBorders>
            <w:noWrap w:val="0"/>
            <w:vAlign w:val="center"/>
          </w:tcPr>
          <w:p>
            <w:pPr>
              <w:pStyle w:val="23"/>
              <w:bidi w:val="0"/>
            </w:pPr>
            <w:r>
              <w:t>NNE</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3333" w:type="pct"/>
            <w:gridSpan w:val="2"/>
            <w:tcBorders>
              <w:tl2br w:val="nil"/>
              <w:tr2bl w:val="nil"/>
            </w:tcBorders>
            <w:noWrap w:val="0"/>
            <w:vAlign w:val="center"/>
          </w:tcPr>
          <w:p>
            <w:pPr>
              <w:pStyle w:val="23"/>
              <w:bidi w:val="0"/>
            </w:pPr>
            <w:r>
              <w:t>多年平均相对湿度（%）</w:t>
            </w:r>
          </w:p>
        </w:tc>
        <w:tc>
          <w:tcPr>
            <w:tcW w:w="1666" w:type="pct"/>
            <w:tcBorders>
              <w:tl2br w:val="nil"/>
              <w:tr2bl w:val="nil"/>
            </w:tcBorders>
            <w:noWrap w:val="0"/>
            <w:vAlign w:val="center"/>
          </w:tcPr>
          <w:p>
            <w:pPr>
              <w:pStyle w:val="23"/>
              <w:bidi w:val="0"/>
            </w:pPr>
            <w:r>
              <w:t>82</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3333" w:type="pct"/>
            <w:gridSpan w:val="2"/>
            <w:tcBorders>
              <w:tl2br w:val="nil"/>
              <w:tr2bl w:val="nil"/>
            </w:tcBorders>
            <w:noWrap w:val="0"/>
            <w:vAlign w:val="center"/>
          </w:tcPr>
          <w:p>
            <w:pPr>
              <w:pStyle w:val="23"/>
              <w:bidi w:val="0"/>
            </w:pPr>
            <w:r>
              <w:t>多年平均蒸发量(mm)</w:t>
            </w:r>
          </w:p>
        </w:tc>
        <w:tc>
          <w:tcPr>
            <w:tcW w:w="1666" w:type="pct"/>
            <w:tcBorders>
              <w:tl2br w:val="nil"/>
              <w:tr2bl w:val="nil"/>
            </w:tcBorders>
            <w:noWrap w:val="0"/>
            <w:vAlign w:val="center"/>
          </w:tcPr>
          <w:p>
            <w:pPr>
              <w:pStyle w:val="23"/>
              <w:bidi w:val="0"/>
            </w:pPr>
            <w:r>
              <w:t>1020.50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3333" w:type="pct"/>
            <w:gridSpan w:val="2"/>
            <w:tcBorders>
              <w:tl2br w:val="nil"/>
              <w:tr2bl w:val="nil"/>
            </w:tcBorders>
            <w:noWrap w:val="0"/>
            <w:vAlign w:val="center"/>
          </w:tcPr>
          <w:p>
            <w:pPr>
              <w:pStyle w:val="23"/>
              <w:bidi w:val="0"/>
            </w:pPr>
            <w:r>
              <w:t>≥10</w:t>
            </w:r>
            <w:r>
              <w:rPr>
                <w:rFonts w:hint="eastAsia"/>
              </w:rPr>
              <w:t>℃</w:t>
            </w:r>
            <w:r>
              <w:t>积温（</w:t>
            </w:r>
            <w:r>
              <w:rPr>
                <w:rFonts w:hint="eastAsia"/>
              </w:rPr>
              <w:t>℃</w:t>
            </w:r>
            <w:r>
              <w:t>）</w:t>
            </w:r>
          </w:p>
        </w:tc>
        <w:tc>
          <w:tcPr>
            <w:tcW w:w="1666" w:type="pct"/>
            <w:tcBorders>
              <w:tl2br w:val="nil"/>
              <w:tr2bl w:val="nil"/>
            </w:tcBorders>
            <w:noWrap w:val="0"/>
            <w:vAlign w:val="center"/>
          </w:tcPr>
          <w:p>
            <w:pPr>
              <w:pStyle w:val="23"/>
              <w:bidi w:val="0"/>
            </w:pPr>
            <w:r>
              <w:t>5450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3333" w:type="pct"/>
            <w:gridSpan w:val="2"/>
            <w:tcBorders>
              <w:tl2br w:val="nil"/>
              <w:tr2bl w:val="nil"/>
            </w:tcBorders>
            <w:noWrap w:val="0"/>
            <w:vAlign w:val="center"/>
          </w:tcPr>
          <w:p>
            <w:pPr>
              <w:pStyle w:val="23"/>
              <w:bidi w:val="0"/>
            </w:pPr>
            <w:r>
              <w:t>多年平均24小时最大暴雨量(mm)</w:t>
            </w:r>
          </w:p>
        </w:tc>
        <w:tc>
          <w:tcPr>
            <w:tcW w:w="1666" w:type="pct"/>
            <w:tcBorders>
              <w:tl2br w:val="nil"/>
              <w:tr2bl w:val="nil"/>
            </w:tcBorders>
            <w:noWrap w:val="0"/>
            <w:vAlign w:val="center"/>
          </w:tcPr>
          <w:p>
            <w:pPr>
              <w:pStyle w:val="23"/>
              <w:bidi w:val="0"/>
            </w:pPr>
            <w:r>
              <w:t>195.20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3333" w:type="pct"/>
            <w:gridSpan w:val="2"/>
            <w:tcBorders>
              <w:tl2br w:val="nil"/>
              <w:tr2bl w:val="nil"/>
            </w:tcBorders>
            <w:noWrap w:val="0"/>
            <w:vAlign w:val="center"/>
          </w:tcPr>
          <w:p>
            <w:pPr>
              <w:pStyle w:val="23"/>
              <w:bidi w:val="0"/>
            </w:pPr>
            <w:r>
              <w:t>多年平均暴雷日数（d）</w:t>
            </w:r>
          </w:p>
        </w:tc>
        <w:tc>
          <w:tcPr>
            <w:tcW w:w="1666" w:type="pct"/>
            <w:tcBorders>
              <w:tl2br w:val="nil"/>
              <w:tr2bl w:val="nil"/>
            </w:tcBorders>
            <w:noWrap w:val="0"/>
            <w:vAlign w:val="center"/>
          </w:tcPr>
          <w:p>
            <w:pPr>
              <w:pStyle w:val="23"/>
              <w:bidi w:val="0"/>
            </w:pPr>
            <w:r>
              <w:t>35.50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3333" w:type="pct"/>
            <w:gridSpan w:val="2"/>
            <w:tcBorders>
              <w:tl2br w:val="nil"/>
              <w:tr2bl w:val="nil"/>
            </w:tcBorders>
            <w:noWrap w:val="0"/>
            <w:vAlign w:val="center"/>
          </w:tcPr>
          <w:p>
            <w:pPr>
              <w:pStyle w:val="23"/>
              <w:bidi w:val="0"/>
            </w:pPr>
            <w:r>
              <w:t>5年一遇1h最大降雨特征值(mm)</w:t>
            </w:r>
          </w:p>
        </w:tc>
        <w:tc>
          <w:tcPr>
            <w:tcW w:w="1666" w:type="pct"/>
            <w:tcBorders>
              <w:tl2br w:val="nil"/>
              <w:tr2bl w:val="nil"/>
            </w:tcBorders>
            <w:noWrap w:val="0"/>
            <w:vAlign w:val="center"/>
          </w:tcPr>
          <w:p>
            <w:pPr>
              <w:pStyle w:val="23"/>
              <w:bidi w:val="0"/>
            </w:pPr>
            <w:r>
              <w:t>59.7</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3333" w:type="pct"/>
            <w:gridSpan w:val="2"/>
            <w:tcBorders>
              <w:tl2br w:val="nil"/>
              <w:tr2bl w:val="nil"/>
            </w:tcBorders>
            <w:noWrap w:val="0"/>
            <w:vAlign w:val="center"/>
          </w:tcPr>
          <w:p>
            <w:pPr>
              <w:pStyle w:val="23"/>
              <w:bidi w:val="0"/>
            </w:pPr>
            <w:r>
              <w:t>10年一遇1h最大降雨特征值(mm)</w:t>
            </w:r>
          </w:p>
        </w:tc>
        <w:tc>
          <w:tcPr>
            <w:tcW w:w="1666" w:type="pct"/>
            <w:tcBorders>
              <w:tl2br w:val="nil"/>
              <w:tr2bl w:val="nil"/>
            </w:tcBorders>
            <w:noWrap w:val="0"/>
            <w:vAlign w:val="center"/>
          </w:tcPr>
          <w:p>
            <w:pPr>
              <w:pStyle w:val="23"/>
              <w:bidi w:val="0"/>
            </w:pPr>
            <w:r>
              <w:t>70.5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3333" w:type="pct"/>
            <w:gridSpan w:val="2"/>
            <w:tcBorders>
              <w:tl2br w:val="nil"/>
              <w:tr2bl w:val="nil"/>
            </w:tcBorders>
            <w:noWrap w:val="0"/>
            <w:vAlign w:val="center"/>
          </w:tcPr>
          <w:p>
            <w:pPr>
              <w:pStyle w:val="23"/>
              <w:bidi w:val="0"/>
            </w:pPr>
            <w:r>
              <w:t>20年一遇1h最大降雨特征值(mm)</w:t>
            </w:r>
          </w:p>
        </w:tc>
        <w:tc>
          <w:tcPr>
            <w:tcW w:w="1666" w:type="pct"/>
            <w:tcBorders>
              <w:tl2br w:val="nil"/>
              <w:tr2bl w:val="nil"/>
            </w:tcBorders>
            <w:noWrap w:val="0"/>
            <w:vAlign w:val="center"/>
          </w:tcPr>
          <w:p>
            <w:pPr>
              <w:pStyle w:val="23"/>
              <w:bidi w:val="0"/>
            </w:pPr>
            <w:r>
              <w:t>80.4</w:t>
            </w:r>
          </w:p>
        </w:tc>
      </w:tr>
    </w:tbl>
    <w:p>
      <w:pPr>
        <w:pStyle w:val="5"/>
        <w:rPr>
          <w:rFonts w:cs="Times New Roman"/>
        </w:rPr>
      </w:pPr>
      <w:r>
        <w:rPr>
          <w:rFonts w:cs="Times New Roman"/>
        </w:rPr>
        <w:t>水文</w:t>
      </w:r>
    </w:p>
    <w:p>
      <w:pPr>
        <w:ind w:firstLine="480"/>
        <w:rPr>
          <w:rFonts w:hint="eastAsia" w:cs="Times New Roman"/>
        </w:rPr>
      </w:pPr>
      <w:r>
        <w:rPr>
          <w:rFonts w:hint="eastAsia" w:cs="Times New Roman"/>
        </w:rPr>
        <w:t>本工程属于双流区境域，境河流属岷江水系，多集中分布于平原地区，流向近于由北东向南西。主要河流有金马河、锦江、江安河、杨柳河、清水河、白河和鹿溪河，河流总长为181.15千米。</w:t>
      </w:r>
    </w:p>
    <w:p>
      <w:pPr>
        <w:ind w:firstLine="480"/>
        <w:rPr>
          <w:rFonts w:cs="Times New Roman"/>
        </w:rPr>
      </w:pPr>
      <w:r>
        <w:rPr>
          <w:rFonts w:hint="eastAsia" w:cs="Times New Roman"/>
        </w:rPr>
        <w:t>项目场地地下水类型可分为上层滞水和基岩裂隙水两种类型。上层滞水主要分布在素填土层、粘土层及粘土质卵石层内；裂隙水主要赋存于泥质砂岩浅部风化裂隙中。</w:t>
      </w:r>
    </w:p>
    <w:p>
      <w:pPr>
        <w:pStyle w:val="5"/>
        <w:rPr>
          <w:rFonts w:cs="Times New Roman"/>
        </w:rPr>
      </w:pPr>
      <w:r>
        <w:rPr>
          <w:rFonts w:cs="Times New Roman"/>
        </w:rPr>
        <w:t>土壤</w:t>
      </w:r>
    </w:p>
    <w:p>
      <w:pPr>
        <w:ind w:firstLine="480"/>
        <w:rPr>
          <w:rFonts w:hint="eastAsia" w:cs="Times New Roman"/>
        </w:rPr>
      </w:pPr>
      <w:r>
        <w:rPr>
          <w:rFonts w:hint="eastAsia" w:cs="Times New Roman"/>
        </w:rPr>
        <w:t>项目区的土壤分为水稻土、冲积土、黄壤土、紫色土共4种类型，冲积性水稻土、紫色性水土、黄壤性水稻土、潮土、紫色土、黄壤土6个亚类，21个土属，44个土种。其中以水稻土为主，占总耕地面积的78.62%，分布于全县各乡镇，PH值在5.5~8.5的变幅内，PH大于8.5的微咸性土壤仅占1.89%，基本适宜水稻、小麦、油菜等作物的生长要求。</w:t>
      </w:r>
    </w:p>
    <w:p>
      <w:pPr>
        <w:ind w:firstLine="480"/>
        <w:rPr>
          <w:rFonts w:cs="Times New Roman"/>
          <w:color w:val="000000"/>
        </w:rPr>
      </w:pPr>
      <w:r>
        <w:rPr>
          <w:rFonts w:hint="eastAsia" w:cs="Times New Roman"/>
        </w:rPr>
        <w:t>本项目区内主要土壤类型为黄壤土</w:t>
      </w:r>
      <w:r>
        <w:rPr>
          <w:rFonts w:hint="eastAsia" w:cs="Times New Roman"/>
          <w:color w:val="000000"/>
        </w:rPr>
        <w:t>。</w:t>
      </w:r>
    </w:p>
    <w:p>
      <w:pPr>
        <w:pStyle w:val="5"/>
        <w:rPr>
          <w:rFonts w:cs="Times New Roman"/>
        </w:rPr>
      </w:pPr>
      <w:r>
        <w:rPr>
          <w:rFonts w:cs="Times New Roman"/>
        </w:rPr>
        <w:t>植被</w:t>
      </w:r>
    </w:p>
    <w:p>
      <w:pPr>
        <w:ind w:firstLine="480"/>
        <w:rPr>
          <w:rFonts w:hint="eastAsia" w:cs="Times New Roman"/>
        </w:rPr>
      </w:pPr>
      <w:r>
        <w:rPr>
          <w:rFonts w:hint="eastAsia" w:cs="Times New Roman"/>
        </w:rPr>
        <w:t>项目区位于亚热带常绿阔叶林区，由于地形、地貌、土壤等差异，项目区境内平原、台地与丘陵山区分布有不同的森林植被和植物群落，植被具有多样性特点。平原区以农业植被为主，主要是油菜和水稻；村落周围、河渠道路两旁，以慈竹群落为主的川西平原林盘星罗棋布；龙泉山低山区主要分布以柏树、青冈等为主的针阔混交林和成片种植的经济果木；浅丘、台地以人工次生林为主，多为纯林，主要为马尾松、湿地松等松林。</w:t>
      </w:r>
    </w:p>
    <w:p>
      <w:pPr>
        <w:ind w:firstLine="480"/>
        <w:rPr>
          <w:rFonts w:cs="Times New Roman"/>
          <w:color w:val="000000"/>
        </w:rPr>
      </w:pPr>
      <w:r>
        <w:rPr>
          <w:rFonts w:hint="eastAsia" w:cs="Times New Roman"/>
        </w:rPr>
        <w:t>场地原地貌为次生植被，林草植被覆盖率约45%</w:t>
      </w:r>
      <w:r>
        <w:rPr>
          <w:rFonts w:hint="eastAsia" w:cs="Times New Roman"/>
          <w:color w:val="000000"/>
        </w:rPr>
        <w:t>。</w:t>
      </w:r>
    </w:p>
    <w:p>
      <w:pPr>
        <w:pStyle w:val="4"/>
        <w:rPr>
          <w:rFonts w:cs="Times New Roman"/>
        </w:rPr>
      </w:pPr>
      <w:r>
        <w:rPr>
          <w:rFonts w:cs="Times New Roman"/>
        </w:rPr>
        <w:t>水土流失及防治情况</w:t>
      </w:r>
    </w:p>
    <w:p>
      <w:pPr>
        <w:pStyle w:val="5"/>
        <w:rPr>
          <w:rFonts w:cs="Times New Roman"/>
        </w:rPr>
      </w:pPr>
      <w:r>
        <w:rPr>
          <w:rFonts w:cs="Times New Roman"/>
        </w:rPr>
        <w:t>项目区水土流失情况</w:t>
      </w:r>
    </w:p>
    <w:p>
      <w:pPr>
        <w:ind w:firstLine="480"/>
        <w:rPr>
          <w:rFonts w:cs="Times New Roman"/>
        </w:rPr>
      </w:pPr>
      <w:r>
        <w:rPr>
          <w:rFonts w:cs="Times New Roman"/>
        </w:rPr>
        <w:t xml:space="preserve">1、项目区水土流失类型 </w:t>
      </w:r>
    </w:p>
    <w:p>
      <w:pPr>
        <w:ind w:firstLine="480"/>
        <w:rPr>
          <w:rFonts w:cs="Times New Roman"/>
          <w:color w:val="000000"/>
        </w:rPr>
      </w:pPr>
      <w:r>
        <w:rPr>
          <w:rFonts w:cs="Times New Roman"/>
        </w:rPr>
        <w:t>根据《水利部办公厅关于印发（全国水土保持规划国家级水土流失重点预防区和重点治理区复核划分成果）的通知》（办水保[2013]188号），《四川省水利厅关于印发</w:t>
      </w:r>
      <w:r>
        <w:rPr>
          <w:rFonts w:hint="eastAsia" w:cs="Times New Roman"/>
        </w:rPr>
        <w:t>【</w:t>
      </w:r>
      <w:r>
        <w:rPr>
          <w:rFonts w:cs="Times New Roman"/>
        </w:rPr>
        <w:t>四川省省级水土流失重点预防区和重点治理区划分成果</w:t>
      </w:r>
      <w:r>
        <w:rPr>
          <w:rFonts w:hint="eastAsia" w:cs="Times New Roman"/>
        </w:rPr>
        <w:t>】</w:t>
      </w:r>
      <w:r>
        <w:rPr>
          <w:rFonts w:cs="Times New Roman"/>
        </w:rPr>
        <w:t>的通知》（川水函[2017]482号），</w:t>
      </w:r>
      <w:r>
        <w:rPr>
          <w:rFonts w:hint="eastAsia" w:cs="Times New Roman"/>
          <w:lang w:eastAsia="zh-CN"/>
        </w:rPr>
        <w:t>成都市天府新区</w:t>
      </w:r>
      <w:r>
        <w:rPr>
          <w:rFonts w:hint="eastAsia" w:cs="Times New Roman"/>
        </w:rPr>
        <w:t>不属于国家级水土流失重点预防区和重点治理区。参照《开发建设项目水土流失防治标准》（GB50434-2018）的规定以及结合本工程实际情况，天府新区为未来的城市区域，本项目水土保持防治执行</w:t>
      </w:r>
      <w:r>
        <w:rPr>
          <w:rFonts w:hint="eastAsia" w:cs="Times New Roman"/>
          <w:lang w:val="en-US" w:eastAsia="zh-CN"/>
        </w:rPr>
        <w:t>建设类</w:t>
      </w:r>
      <w:r>
        <w:rPr>
          <w:rFonts w:hint="eastAsia" w:cs="Times New Roman"/>
        </w:rPr>
        <w:t>一级防治标准。</w:t>
      </w:r>
      <w:r>
        <w:rPr>
          <w:rFonts w:cs="Times New Roman"/>
        </w:rPr>
        <w:t>水土流失类型主要为水力侵蚀，水力侵蚀的形式为面蚀</w:t>
      </w:r>
      <w:r>
        <w:rPr>
          <w:rFonts w:hint="eastAsia" w:cs="Times New Roman"/>
        </w:rPr>
        <w:t>及沟蚀</w:t>
      </w:r>
      <w:r>
        <w:rPr>
          <w:rFonts w:hint="eastAsia" w:cs="Times New Roman"/>
          <w:color w:val="000000"/>
        </w:rPr>
        <w:t>。</w:t>
      </w:r>
    </w:p>
    <w:p>
      <w:pPr>
        <w:ind w:firstLine="480"/>
        <w:rPr>
          <w:rFonts w:cs="Times New Roman"/>
        </w:rPr>
      </w:pPr>
      <w:r>
        <w:rPr>
          <w:rFonts w:cs="Times New Roman"/>
        </w:rPr>
        <w:t>2、项目区水土流失强度</w:t>
      </w:r>
    </w:p>
    <w:p>
      <w:pPr>
        <w:ind w:firstLine="480"/>
        <w:rPr>
          <w:rFonts w:cs="Times New Roman"/>
        </w:rPr>
      </w:pPr>
      <w:r>
        <w:t>根据</w:t>
      </w:r>
      <w:r>
        <w:rPr>
          <w:rFonts w:hint="eastAsia"/>
        </w:rPr>
        <w:t>本项目</w:t>
      </w:r>
      <w:r>
        <w:t>沿线土壤侵蚀分布图，结合项目区地形图分析，并经现场踏勘调查项目区土地利用类型、面积、地形坡度和植被覆盖率等，同时结合项目区地貌、土壤和气候特征，</w:t>
      </w:r>
      <w:r>
        <w:rPr>
          <w:rFonts w:hint="eastAsia"/>
        </w:rPr>
        <w:t>依据</w:t>
      </w:r>
      <w:r>
        <w:t>《土壤侵蚀分类分级标准》 (SL190-2007)推求各工程单元不同土地利用类型下的侵蚀强度，参考当地相关水保资料最终确定项目区各个工程单元各种土地利用类型下的土壤侵蚀模数背景值。本项目沿线经过的区域地形地质条件较好，受地震灾害影响不大。</w:t>
      </w:r>
      <w:r>
        <w:rPr>
          <w:rFonts w:hint="eastAsia"/>
        </w:rPr>
        <w:t>根据批复方案</w:t>
      </w:r>
      <w:r>
        <w:t>，项目沿线平均土壤侵蚀模数背景值为</w:t>
      </w:r>
      <w:r>
        <w:rPr>
          <w:rFonts w:hint="eastAsia"/>
          <w:lang w:eastAsia="zh-CN"/>
        </w:rPr>
        <w:t>1389</w:t>
      </w:r>
      <w:r>
        <w:t>t/km</w:t>
      </w:r>
      <w:r>
        <w:rPr>
          <w:vertAlign w:val="superscript"/>
        </w:rPr>
        <w:t>2</w:t>
      </w:r>
      <w:r>
        <w:t>·a</w:t>
      </w:r>
      <w:r>
        <w:rPr>
          <w:rFonts w:cs="Times New Roman"/>
        </w:rPr>
        <w:t>。</w:t>
      </w:r>
    </w:p>
    <w:p>
      <w:pPr>
        <w:ind w:firstLine="480"/>
      </w:pPr>
      <w:r>
        <w:rPr>
          <w:rFonts w:cs="Times New Roman"/>
        </w:rPr>
        <w:t>经过调查分析，该工程水土流失重点时段为施工期，</w:t>
      </w:r>
      <w:r>
        <w:rPr>
          <w:rFonts w:hint="eastAsia" w:cs="Times New Roman"/>
        </w:rPr>
        <w:t>因工程建设带来的地面扰动、植被破坏、弃渣等产生的新增水土流失主要集中在施工期，此时开挖工作量为最大，相对水土保持措施如排水、绿化暂未全部实施，故流失量最大。经过工程试运行期，水土保持措施逐步产生效益，相应水土流失量减少，整个工程水土流失量基本得到控制，整个项目区土壤侵蚀强度降低到允许值范围内</w:t>
      </w:r>
      <w:r>
        <w:rPr>
          <w:rFonts w:hint="eastAsia"/>
        </w:rPr>
        <w:t>。</w:t>
      </w:r>
    </w:p>
    <w:p>
      <w:pPr>
        <w:pStyle w:val="3"/>
        <w:rPr>
          <w:rFonts w:ascii="Times New Roman" w:hAnsi="Times New Roman" w:cs="Times New Roman"/>
        </w:rPr>
      </w:pPr>
      <w:bookmarkStart w:id="10" w:name="_Toc16588"/>
      <w:r>
        <w:rPr>
          <w:rFonts w:ascii="Times New Roman" w:hAnsi="Times New Roman" w:cs="Times New Roman"/>
        </w:rPr>
        <w:t>水土保持工作情况</w:t>
      </w:r>
      <w:bookmarkEnd w:id="10"/>
    </w:p>
    <w:p>
      <w:pPr>
        <w:ind w:firstLine="480"/>
        <w:rPr>
          <w:rFonts w:cs="Times New Roman"/>
        </w:rPr>
      </w:pPr>
      <w:r>
        <w:rPr>
          <w:rFonts w:cs="Times New Roman"/>
        </w:rPr>
        <w:t>（1）水土保持方案编报</w:t>
      </w:r>
    </w:p>
    <w:p>
      <w:pPr>
        <w:ind w:firstLine="480"/>
        <w:rPr>
          <w:rFonts w:cs="Times New Roman"/>
        </w:rPr>
      </w:pPr>
      <w:r>
        <w:rPr>
          <w:rFonts w:hint="eastAsia" w:cs="Times New Roman"/>
        </w:rPr>
        <w:t>2016年</w:t>
      </w:r>
      <w:r>
        <w:rPr>
          <w:rFonts w:hint="eastAsia" w:cs="Times New Roman"/>
          <w:lang w:val="en-US" w:eastAsia="zh-CN"/>
        </w:rPr>
        <w:t>6</w:t>
      </w:r>
      <w:r>
        <w:rPr>
          <w:rFonts w:hint="eastAsia" w:cs="Times New Roman"/>
        </w:rPr>
        <w:t>月，建设单位委托</w:t>
      </w:r>
      <w:r>
        <w:rPr>
          <w:rFonts w:hint="eastAsia" w:cs="Times New Roman"/>
          <w:lang w:eastAsia="zh-CN"/>
        </w:rPr>
        <w:t>四川国泰民安科技有限公司</w:t>
      </w:r>
      <w:r>
        <w:rPr>
          <w:rFonts w:hint="eastAsia" w:cs="Times New Roman"/>
        </w:rPr>
        <w:t>编制本项目水土保持方案报告书。</w:t>
      </w:r>
    </w:p>
    <w:p>
      <w:pPr>
        <w:ind w:firstLine="480"/>
        <w:rPr>
          <w:rFonts w:cs="Times New Roman"/>
        </w:rPr>
      </w:pPr>
      <w:r>
        <w:rPr>
          <w:rFonts w:hint="eastAsia" w:cs="Times New Roman"/>
        </w:rPr>
        <w:t>接受委托后，编制单位技术人员于2016年</w:t>
      </w:r>
      <w:r>
        <w:rPr>
          <w:rFonts w:hint="eastAsia" w:cs="Times New Roman"/>
          <w:lang w:val="en-US" w:eastAsia="zh-CN"/>
        </w:rPr>
        <w:t>6</w:t>
      </w:r>
      <w:r>
        <w:rPr>
          <w:rFonts w:hint="eastAsia" w:cs="Times New Roman"/>
        </w:rPr>
        <w:t>月查勘了工程现场，并根据本工程设计资料及其他相关资料进行水土保持方案编制。2016年</w:t>
      </w:r>
      <w:r>
        <w:rPr>
          <w:rFonts w:hint="eastAsia" w:cs="Times New Roman"/>
          <w:lang w:val="en-US" w:eastAsia="zh-CN"/>
        </w:rPr>
        <w:t>7</w:t>
      </w:r>
      <w:r>
        <w:rPr>
          <w:rFonts w:hint="eastAsia" w:cs="Times New Roman"/>
        </w:rPr>
        <w:t>月，</w:t>
      </w:r>
      <w:r>
        <w:rPr>
          <w:rFonts w:hint="eastAsia" w:cs="Times New Roman"/>
          <w:lang w:eastAsia="zh-CN"/>
        </w:rPr>
        <w:t>天府新区成都管委会规划建设局</w:t>
      </w:r>
      <w:r>
        <w:rPr>
          <w:rFonts w:hint="eastAsia" w:cs="Times New Roman"/>
        </w:rPr>
        <w:t>组织开展了《</w:t>
      </w:r>
      <w:r>
        <w:rPr>
          <w:rFonts w:hint="eastAsia" w:cs="Times New Roman"/>
          <w:lang w:eastAsia="zh-CN"/>
        </w:rPr>
        <w:t>上海千缘汽车车身模具有限公司关于汽车零部件制造的项目</w:t>
      </w:r>
      <w:r>
        <w:rPr>
          <w:rFonts w:hint="eastAsia" w:cs="Times New Roman"/>
        </w:rPr>
        <w:t>水土保持方案报告书（送审稿）》的技术审查工作，并形成技术评审意见，随后方案编制单位根据专家组技术评审意见对报告书进行了补充、完善；</w:t>
      </w:r>
    </w:p>
    <w:p>
      <w:pPr>
        <w:ind w:firstLine="480"/>
        <w:rPr>
          <w:rFonts w:cs="Times New Roman"/>
        </w:rPr>
      </w:pPr>
      <w:r>
        <w:rPr>
          <w:rFonts w:hint="eastAsia" w:cs="Times New Roman"/>
          <w:lang w:eastAsia="zh-CN"/>
        </w:rPr>
        <w:t>2016年</w:t>
      </w:r>
      <w:r>
        <w:rPr>
          <w:rFonts w:hint="eastAsia" w:cs="Times New Roman"/>
          <w:lang w:val="en-US" w:eastAsia="zh-CN"/>
        </w:rPr>
        <w:t>8</w:t>
      </w:r>
      <w:r>
        <w:rPr>
          <w:rFonts w:hint="eastAsia" w:cs="Times New Roman"/>
          <w:lang w:eastAsia="zh-CN"/>
        </w:rPr>
        <w:t>月</w:t>
      </w:r>
      <w:r>
        <w:rPr>
          <w:rFonts w:hint="eastAsia" w:cs="Times New Roman"/>
        </w:rPr>
        <w:t>上旬编制单位修编完成《</w:t>
      </w:r>
      <w:r>
        <w:rPr>
          <w:rFonts w:hint="eastAsia" w:cs="Times New Roman"/>
          <w:lang w:eastAsia="zh-CN"/>
        </w:rPr>
        <w:t>上海千缘汽车车身模具有限公司关于汽车零部件制造的项目</w:t>
      </w:r>
      <w:r>
        <w:rPr>
          <w:rFonts w:hint="eastAsia" w:cs="Times New Roman"/>
        </w:rPr>
        <w:t>水土保持方案报告书（报批稿）》；</w:t>
      </w:r>
    </w:p>
    <w:p>
      <w:pPr>
        <w:ind w:firstLine="480"/>
      </w:pPr>
      <w:r>
        <w:rPr>
          <w:rFonts w:hint="eastAsia" w:cs="Times New Roman"/>
          <w:lang w:eastAsia="zh-CN"/>
        </w:rPr>
        <w:t>2016年8月29日</w:t>
      </w:r>
      <w:r>
        <w:rPr>
          <w:rFonts w:hint="eastAsia" w:cs="Times New Roman"/>
        </w:rPr>
        <w:t>，</w:t>
      </w:r>
      <w:r>
        <w:rPr>
          <w:rFonts w:hint="eastAsia" w:cs="Times New Roman"/>
          <w:lang w:eastAsia="zh-CN"/>
        </w:rPr>
        <w:t>天府新区成都管委会规划建设局</w:t>
      </w:r>
      <w:r>
        <w:rPr>
          <w:rFonts w:hint="eastAsia" w:cs="Times New Roman"/>
        </w:rPr>
        <w:t>对《</w:t>
      </w:r>
      <w:r>
        <w:rPr>
          <w:rFonts w:hint="eastAsia" w:cs="Times New Roman"/>
          <w:lang w:eastAsia="zh-CN"/>
        </w:rPr>
        <w:t>上海千缘汽车车身模具有限公司关于汽车零部件制造的项目</w:t>
      </w:r>
      <w:r>
        <w:rPr>
          <w:rFonts w:hint="eastAsia" w:cs="Times New Roman"/>
        </w:rPr>
        <w:t>水土保持方案报告书》进行了批复（</w:t>
      </w:r>
      <w:r>
        <w:rPr>
          <w:rFonts w:hint="eastAsia" w:cs="Times New Roman"/>
          <w:lang w:eastAsia="zh-CN"/>
        </w:rPr>
        <w:t>天成管规建城复[2016]210号</w:t>
      </w:r>
      <w:r>
        <w:rPr>
          <w:rFonts w:hint="eastAsia" w:cs="Times New Roman"/>
        </w:rPr>
        <w:t>）</w:t>
      </w:r>
      <w:r>
        <w:rPr>
          <w:rFonts w:hint="eastAsia"/>
        </w:rPr>
        <w:t>。</w:t>
      </w:r>
    </w:p>
    <w:p>
      <w:pPr>
        <w:ind w:firstLine="480"/>
        <w:rPr>
          <w:rFonts w:cs="Times New Roman"/>
        </w:rPr>
      </w:pPr>
      <w:r>
        <w:rPr>
          <w:rFonts w:cs="Times New Roman"/>
        </w:rPr>
        <w:t>（2）主体工程设计及施工过程变更</w:t>
      </w:r>
    </w:p>
    <w:p>
      <w:pPr>
        <w:ind w:firstLine="480"/>
        <w:rPr>
          <w:rFonts w:cs="Times New Roman"/>
        </w:rPr>
      </w:pPr>
      <w:r>
        <w:rPr>
          <w:rFonts w:cs="Times New Roman"/>
        </w:rPr>
        <w:t>主体工程设计及施工过程未变更。</w:t>
      </w:r>
    </w:p>
    <w:p>
      <w:pPr>
        <w:ind w:firstLine="480"/>
        <w:rPr>
          <w:rFonts w:cs="Times New Roman"/>
        </w:rPr>
      </w:pPr>
      <w:r>
        <w:rPr>
          <w:rFonts w:cs="Times New Roman"/>
        </w:rPr>
        <w:t>（3）水土保持管理</w:t>
      </w:r>
    </w:p>
    <w:p>
      <w:pPr>
        <w:ind w:firstLine="480"/>
        <w:rPr>
          <w:rFonts w:cs="Times New Roman"/>
        </w:rPr>
      </w:pPr>
      <w:r>
        <w:rPr>
          <w:rFonts w:cs="Times New Roman"/>
        </w:rPr>
        <w:t>工程实行“投资方＋监理”的工程质量管理方式。建设单位专门成立了项目部对工程建设进行管理，设计院在现场有专门的设计，监理单位成立了监理项目部，各施工单位成了专门的施工项目部。建设单位全面负责工程水土保持管理工作。各参建单位水土保持管理部门作为工程施工期水土保持工作的主要责任机构和执行机构，严格按照合同条款和招投标文件中规定的水土保持内容，具体实施施工单位承担的水土保持任务。地方水行政主管部门负责监督指导。</w:t>
      </w:r>
    </w:p>
    <w:p>
      <w:pPr>
        <w:ind w:firstLine="480"/>
        <w:rPr>
          <w:rFonts w:cs="Times New Roman"/>
        </w:rPr>
      </w:pPr>
      <w:r>
        <w:rPr>
          <w:rFonts w:cs="Times New Roman"/>
        </w:rPr>
        <w:t>建设单位组织制定了多项水土保持管理制度，主要包括：工作记录制度、报告制度、函件来往制度、会议制度、人员培训和宣传教育制度、档案管理制度等。</w:t>
      </w:r>
    </w:p>
    <w:p>
      <w:pPr>
        <w:ind w:firstLine="480"/>
        <w:rPr>
          <w:rFonts w:cs="Times New Roman"/>
        </w:rPr>
      </w:pPr>
      <w:r>
        <w:rPr>
          <w:rFonts w:cs="Times New Roman"/>
        </w:rPr>
        <w:t>（4）水土保持监测成果报送</w:t>
      </w:r>
    </w:p>
    <w:p>
      <w:pPr>
        <w:ind w:firstLine="480"/>
        <w:rPr>
          <w:rFonts w:cs="Times New Roman"/>
        </w:rPr>
      </w:pPr>
      <w:r>
        <w:rPr>
          <w:rFonts w:cs="Times New Roman"/>
        </w:rPr>
        <w:t>水土保持监测任务完成后编报完成《</w:t>
      </w:r>
      <w:r>
        <w:rPr>
          <w:rFonts w:hint="eastAsia" w:cs="Times New Roman"/>
          <w:lang w:eastAsia="zh-CN"/>
        </w:rPr>
        <w:t>上海千缘汽车车身模具有限公司关于汽车零部件制造的项目</w:t>
      </w:r>
      <w:r>
        <w:rPr>
          <w:rFonts w:hint="eastAsia" w:cs="Times New Roman"/>
        </w:rPr>
        <w:t>项目</w:t>
      </w:r>
      <w:r>
        <w:rPr>
          <w:rFonts w:cs="Times New Roman"/>
        </w:rPr>
        <w:t>监测总结报告》。</w:t>
      </w:r>
    </w:p>
    <w:p>
      <w:pPr>
        <w:pStyle w:val="3"/>
        <w:rPr>
          <w:rFonts w:ascii="Times New Roman" w:hAnsi="Times New Roman" w:cs="Times New Roman"/>
        </w:rPr>
      </w:pPr>
      <w:bookmarkStart w:id="11" w:name="_Toc5825898"/>
      <w:bookmarkStart w:id="12" w:name="_Toc2534355"/>
      <w:bookmarkStart w:id="13" w:name="_Toc8212"/>
      <w:r>
        <w:rPr>
          <w:rFonts w:ascii="Times New Roman" w:hAnsi="Times New Roman" w:cs="Times New Roman"/>
        </w:rPr>
        <w:t>监测工作实施情况</w:t>
      </w:r>
      <w:bookmarkEnd w:id="11"/>
      <w:bookmarkEnd w:id="12"/>
      <w:bookmarkEnd w:id="13"/>
    </w:p>
    <w:p>
      <w:pPr>
        <w:pStyle w:val="4"/>
        <w:rPr>
          <w:rFonts w:cs="Times New Roman"/>
        </w:rPr>
      </w:pPr>
      <w:r>
        <w:rPr>
          <w:rFonts w:cs="Times New Roman"/>
        </w:rPr>
        <w:t>监测实施方案执行情况</w:t>
      </w:r>
    </w:p>
    <w:p>
      <w:pPr>
        <w:ind w:firstLine="480"/>
        <w:rPr>
          <w:rFonts w:cs="Times New Roman"/>
        </w:rPr>
      </w:pPr>
      <w:r>
        <w:rPr>
          <w:rFonts w:cs="Times New Roman"/>
        </w:rPr>
        <w:t>20</w:t>
      </w:r>
      <w:r>
        <w:rPr>
          <w:rFonts w:hint="eastAsia" w:cs="Times New Roman"/>
        </w:rPr>
        <w:t>20</w:t>
      </w:r>
      <w:r>
        <w:rPr>
          <w:rFonts w:cs="Times New Roman"/>
        </w:rPr>
        <w:t>年</w:t>
      </w:r>
      <w:r>
        <w:rPr>
          <w:rFonts w:hint="eastAsia" w:cs="Times New Roman"/>
          <w:lang w:val="en-US" w:eastAsia="zh-CN"/>
        </w:rPr>
        <w:t>6</w:t>
      </w:r>
      <w:r>
        <w:rPr>
          <w:rFonts w:cs="Times New Roman"/>
        </w:rPr>
        <w:t>月，建设单位委托</w:t>
      </w:r>
      <w:r>
        <w:rPr>
          <w:rFonts w:hint="eastAsia" w:cs="Times New Roman"/>
          <w:lang w:eastAsia="zh-CN"/>
        </w:rPr>
        <w:t>四川景溪工程设计有限公司</w:t>
      </w:r>
      <w:r>
        <w:rPr>
          <w:rFonts w:cs="Times New Roman"/>
        </w:rPr>
        <w:t>（以下简称“我公司”）开展工程的水土保持监测工作。接受委托后，我公司成立了项目监测工作组，及时开展了本项目</w:t>
      </w:r>
      <w:r>
        <w:rPr>
          <w:rFonts w:hint="eastAsia" w:cs="Times New Roman"/>
        </w:rPr>
        <w:t>建设期</w:t>
      </w:r>
      <w:r>
        <w:rPr>
          <w:rFonts w:cs="Times New Roman"/>
        </w:rPr>
        <w:t>的水土保持效果监测工作。</w:t>
      </w:r>
    </w:p>
    <w:p>
      <w:pPr>
        <w:pStyle w:val="4"/>
        <w:rPr>
          <w:rFonts w:cs="Times New Roman"/>
        </w:rPr>
      </w:pPr>
      <w:r>
        <w:rPr>
          <w:rFonts w:cs="Times New Roman"/>
        </w:rPr>
        <w:t>监测项目部设置</w:t>
      </w:r>
    </w:p>
    <w:p>
      <w:pPr>
        <w:ind w:firstLine="480"/>
        <w:rPr>
          <w:rFonts w:cs="Times New Roman"/>
        </w:rPr>
      </w:pPr>
      <w:r>
        <w:rPr>
          <w:rFonts w:cs="Times New Roman"/>
        </w:rPr>
        <w:t>（1）委托时间</w:t>
      </w:r>
    </w:p>
    <w:p>
      <w:pPr>
        <w:ind w:firstLine="480"/>
        <w:rPr>
          <w:rFonts w:cs="Times New Roman"/>
        </w:rPr>
      </w:pPr>
      <w:r>
        <w:rPr>
          <w:rFonts w:cs="Times New Roman"/>
        </w:rPr>
        <w:t>建设单位</w:t>
      </w:r>
      <w:r>
        <w:rPr>
          <w:rFonts w:cs="Times New Roman"/>
          <w:color w:val="000000" w:themeColor="text1"/>
          <w14:textFill>
            <w14:solidFill>
              <w14:schemeClr w14:val="tx1"/>
            </w14:solidFill>
          </w14:textFill>
        </w:rPr>
        <w:t>于20</w:t>
      </w:r>
      <w:r>
        <w:rPr>
          <w:rFonts w:hint="eastAsia" w:cs="Times New Roman"/>
          <w:color w:val="000000" w:themeColor="text1"/>
          <w14:textFill>
            <w14:solidFill>
              <w14:schemeClr w14:val="tx1"/>
            </w14:solidFill>
          </w14:textFill>
        </w:rPr>
        <w:t>20</w:t>
      </w:r>
      <w:r>
        <w:rPr>
          <w:rFonts w:cs="Times New Roman"/>
          <w:color w:val="000000" w:themeColor="text1"/>
          <w14:textFill>
            <w14:solidFill>
              <w14:schemeClr w14:val="tx1"/>
            </w14:solidFill>
          </w14:textFill>
        </w:rPr>
        <w:t>年</w:t>
      </w:r>
      <w:r>
        <w:rPr>
          <w:rFonts w:hint="eastAsia" w:cs="Times New Roman"/>
          <w:color w:val="000000" w:themeColor="text1"/>
          <w:lang w:val="en-US" w:eastAsia="zh-CN"/>
          <w14:textFill>
            <w14:solidFill>
              <w14:schemeClr w14:val="tx1"/>
            </w14:solidFill>
          </w14:textFill>
        </w:rPr>
        <w:t>6</w:t>
      </w:r>
      <w:r>
        <w:rPr>
          <w:rFonts w:cs="Times New Roman"/>
          <w:color w:val="000000" w:themeColor="text1"/>
          <w14:textFill>
            <w14:solidFill>
              <w14:schemeClr w14:val="tx1"/>
            </w14:solidFill>
          </w14:textFill>
        </w:rPr>
        <w:t>月委</w:t>
      </w:r>
      <w:r>
        <w:rPr>
          <w:rFonts w:cs="Times New Roman"/>
        </w:rPr>
        <w:t>托我公司开展本项目</w:t>
      </w:r>
      <w:r>
        <w:rPr>
          <w:rFonts w:hint="eastAsia" w:cs="Times New Roman"/>
        </w:rPr>
        <w:t>建设期</w:t>
      </w:r>
      <w:r>
        <w:rPr>
          <w:rFonts w:cs="Times New Roman"/>
        </w:rPr>
        <w:t>的水土保持效果监测工作。</w:t>
      </w:r>
    </w:p>
    <w:p>
      <w:pPr>
        <w:ind w:firstLine="480"/>
        <w:rPr>
          <w:rFonts w:cs="Times New Roman"/>
        </w:rPr>
      </w:pPr>
      <w:r>
        <w:rPr>
          <w:rFonts w:cs="Times New Roman"/>
        </w:rPr>
        <w:t>（2）监测工作开展</w:t>
      </w:r>
    </w:p>
    <w:p>
      <w:pPr>
        <w:ind w:firstLine="480"/>
        <w:rPr>
          <w:rFonts w:cs="Times New Roman"/>
          <w:kern w:val="0"/>
          <w:szCs w:val="20"/>
        </w:rPr>
      </w:pPr>
      <w:r>
        <w:rPr>
          <w:rFonts w:cs="Times New Roman"/>
          <w:kern w:val="0"/>
        </w:rPr>
        <w:t>我公司接受委托后，立即组织水土保持监测专业技术人员成立了</w:t>
      </w:r>
      <w:r>
        <w:rPr>
          <w:rFonts w:hint="eastAsia" w:cs="Times New Roman"/>
          <w:lang w:eastAsia="zh-CN"/>
        </w:rPr>
        <w:t>上海千缘汽车车身模具有限公司关于汽车零部件制造的项目</w:t>
      </w:r>
      <w:r>
        <w:rPr>
          <w:rFonts w:hint="eastAsia" w:cs="Times New Roman"/>
        </w:rPr>
        <w:t>项目</w:t>
      </w:r>
      <w:r>
        <w:rPr>
          <w:rFonts w:cs="Times New Roman"/>
          <w:kern w:val="0"/>
        </w:rPr>
        <w:t>监测项目组（以下简称“项目组”），进入现场并进行实地踏勘。之后，项目组按照水土保持监测技术规程规范的相关要求，在</w:t>
      </w:r>
      <w:r>
        <w:rPr>
          <w:rFonts w:hint="eastAsia" w:cs="Times New Roman"/>
          <w:kern w:val="0"/>
          <w:lang w:eastAsia="zh-CN"/>
        </w:rPr>
        <w:t>成都润嘉汽车部件有限公司</w:t>
      </w:r>
      <w:r>
        <w:rPr>
          <w:rFonts w:cs="Times New Roman"/>
          <w:bCs/>
          <w:kern w:val="0"/>
        </w:rPr>
        <w:t>、各参建</w:t>
      </w:r>
      <w:r>
        <w:rPr>
          <w:rFonts w:cs="Times New Roman"/>
          <w:kern w:val="0"/>
        </w:rPr>
        <w:t>施工单位和监理单位的大力协助下，开展了</w:t>
      </w:r>
      <w:r>
        <w:rPr>
          <w:rFonts w:hint="eastAsia" w:cs="Times New Roman"/>
          <w:lang w:eastAsia="zh-CN"/>
        </w:rPr>
        <w:t>上海千缘汽车车身模具有限公司关于汽车零部件制造的项目</w:t>
      </w:r>
      <w:r>
        <w:rPr>
          <w:rFonts w:hint="eastAsia" w:cs="Times New Roman"/>
        </w:rPr>
        <w:t>项目</w:t>
      </w:r>
      <w:r>
        <w:rPr>
          <w:rFonts w:cs="Times New Roman"/>
          <w:kern w:val="0"/>
        </w:rPr>
        <w:t>水土保持监测工作。</w:t>
      </w:r>
    </w:p>
    <w:p>
      <w:pPr>
        <w:ind w:firstLine="480"/>
        <w:rPr>
          <w:rFonts w:cs="Times New Roman"/>
        </w:rPr>
      </w:pPr>
      <w:r>
        <w:rPr>
          <w:rFonts w:cs="Times New Roman"/>
        </w:rPr>
        <w:t>（3）监测项目部组成及技术人员配备</w:t>
      </w:r>
    </w:p>
    <w:p>
      <w:pPr>
        <w:ind w:firstLine="480"/>
        <w:rPr>
          <w:rFonts w:cs="Times New Roman"/>
        </w:rPr>
      </w:pPr>
      <w:r>
        <w:rPr>
          <w:rFonts w:cs="Times New Roman"/>
        </w:rPr>
        <w:t>为确保水土保持监测工作的成果质量，我公司成立了监测项目工作小组，完善质量控制体系，对监测工作实行质量负责制，由项目主持人负总责，在各监测地段和各监测点明确具体的工作质量负责人，所有的监测数据必须由质量负责人审核把关，监测数据整编后，项目负责人还将组织对监测成果进行审核和查验，以保证监测成果的准确性。</w:t>
      </w:r>
    </w:p>
    <w:p>
      <w:pPr>
        <w:ind w:firstLine="480"/>
        <w:rPr>
          <w:rFonts w:cs="Times New Roman"/>
        </w:rPr>
      </w:pPr>
      <w:r>
        <w:rPr>
          <w:rFonts w:hint="eastAsia" w:cs="Times New Roman"/>
          <w:kern w:val="0"/>
          <w:lang w:eastAsia="zh-CN"/>
        </w:rPr>
        <w:t>上海千缘汽车车身模具有限公司关于汽车零部件制造的项目</w:t>
      </w:r>
      <w:r>
        <w:rPr>
          <w:rFonts w:hint="eastAsia" w:cs="Times New Roman"/>
          <w:kern w:val="0"/>
        </w:rPr>
        <w:t>项目</w:t>
      </w:r>
      <w:r>
        <w:rPr>
          <w:rFonts w:cs="Times New Roman"/>
          <w:kern w:val="0"/>
        </w:rPr>
        <w:t>水土保持监测项目部人员构成见表1.3-1。</w:t>
      </w:r>
    </w:p>
    <w:p>
      <w:pPr>
        <w:pStyle w:val="6"/>
        <w:spacing w:before="156" w:after="156"/>
        <w:ind w:firstLine="480"/>
        <w:rPr>
          <w:rFonts w:cs="Times New Roman"/>
          <w:sz w:val="24"/>
        </w:rPr>
      </w:pPr>
      <w:r>
        <w:rPr>
          <w:rFonts w:cs="Times New Roman"/>
        </w:rPr>
        <w:t>表1.3-1 工程主要监测人员情况表</w:t>
      </w:r>
    </w:p>
    <w:tbl>
      <w:tblPr>
        <w:tblStyle w:val="13"/>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73"/>
        <w:gridCol w:w="2331"/>
        <w:gridCol w:w="2905"/>
        <w:gridCol w:w="297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578" w:type="pct"/>
            <w:tcBorders>
              <w:tl2br w:val="nil"/>
              <w:tr2bl w:val="nil"/>
            </w:tcBorders>
            <w:vAlign w:val="center"/>
          </w:tcPr>
          <w:p>
            <w:pPr>
              <w:pStyle w:val="23"/>
              <w:rPr>
                <w:rFonts w:cs="Times New Roman"/>
              </w:rPr>
            </w:pPr>
            <w:r>
              <w:rPr>
                <w:rFonts w:cs="Times New Roman"/>
              </w:rPr>
              <w:t>序号</w:t>
            </w:r>
          </w:p>
        </w:tc>
        <w:tc>
          <w:tcPr>
            <w:tcW w:w="1255" w:type="pct"/>
            <w:tcBorders>
              <w:tl2br w:val="nil"/>
              <w:tr2bl w:val="nil"/>
            </w:tcBorders>
            <w:vAlign w:val="center"/>
          </w:tcPr>
          <w:p>
            <w:pPr>
              <w:pStyle w:val="23"/>
              <w:rPr>
                <w:rFonts w:cs="Times New Roman"/>
              </w:rPr>
            </w:pPr>
            <w:r>
              <w:rPr>
                <w:rFonts w:cs="Times New Roman"/>
              </w:rPr>
              <w:t>人员</w:t>
            </w:r>
          </w:p>
        </w:tc>
        <w:tc>
          <w:tcPr>
            <w:tcW w:w="1564" w:type="pct"/>
            <w:tcBorders>
              <w:tl2br w:val="nil"/>
              <w:tr2bl w:val="nil"/>
            </w:tcBorders>
            <w:vAlign w:val="center"/>
          </w:tcPr>
          <w:p>
            <w:pPr>
              <w:pStyle w:val="23"/>
              <w:rPr>
                <w:rFonts w:cs="Times New Roman"/>
              </w:rPr>
            </w:pPr>
            <w:r>
              <w:rPr>
                <w:rFonts w:cs="Times New Roman"/>
              </w:rPr>
              <w:t>职称</w:t>
            </w:r>
          </w:p>
        </w:tc>
        <w:tc>
          <w:tcPr>
            <w:tcW w:w="1601" w:type="pct"/>
            <w:tcBorders>
              <w:tl2br w:val="nil"/>
              <w:tr2bl w:val="nil"/>
            </w:tcBorders>
            <w:vAlign w:val="center"/>
          </w:tcPr>
          <w:p>
            <w:pPr>
              <w:pStyle w:val="23"/>
              <w:rPr>
                <w:rFonts w:cs="Times New Roman"/>
              </w:rPr>
            </w:pPr>
            <w:r>
              <w:rPr>
                <w:rFonts w:cs="Times New Roman"/>
              </w:rPr>
              <w:t>职位</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578" w:type="pct"/>
            <w:tcBorders>
              <w:tl2br w:val="nil"/>
              <w:tr2bl w:val="nil"/>
            </w:tcBorders>
            <w:vAlign w:val="center"/>
          </w:tcPr>
          <w:p>
            <w:pPr>
              <w:pStyle w:val="23"/>
              <w:rPr>
                <w:rFonts w:cs="Times New Roman"/>
              </w:rPr>
            </w:pPr>
            <w:r>
              <w:rPr>
                <w:rFonts w:cs="Times New Roman"/>
              </w:rPr>
              <w:t>1</w:t>
            </w:r>
          </w:p>
        </w:tc>
        <w:tc>
          <w:tcPr>
            <w:tcW w:w="1255" w:type="pct"/>
            <w:tcBorders>
              <w:tl2br w:val="nil"/>
              <w:tr2bl w:val="nil"/>
            </w:tcBorders>
            <w:vAlign w:val="center"/>
          </w:tcPr>
          <w:p>
            <w:pPr>
              <w:pStyle w:val="23"/>
              <w:rPr>
                <w:rFonts w:hint="eastAsia" w:eastAsia="仿宋" w:cs="Times New Roman"/>
                <w:lang w:eastAsia="zh-CN"/>
              </w:rPr>
            </w:pPr>
            <w:r>
              <w:rPr>
                <w:rFonts w:hint="eastAsia" w:cs="Times New Roman"/>
                <w:lang w:val="en-US" w:eastAsia="zh-CN"/>
              </w:rPr>
              <w:t>张 宇</w:t>
            </w:r>
          </w:p>
        </w:tc>
        <w:tc>
          <w:tcPr>
            <w:tcW w:w="1564" w:type="pct"/>
            <w:tcBorders>
              <w:tl2br w:val="nil"/>
              <w:tr2bl w:val="nil"/>
            </w:tcBorders>
            <w:vAlign w:val="center"/>
          </w:tcPr>
          <w:p>
            <w:pPr>
              <w:pStyle w:val="23"/>
              <w:rPr>
                <w:rFonts w:cs="Times New Roman"/>
              </w:rPr>
            </w:pPr>
            <w:r>
              <w:rPr>
                <w:rFonts w:cs="Times New Roman"/>
              </w:rPr>
              <w:t>高级工程师</w:t>
            </w:r>
          </w:p>
        </w:tc>
        <w:tc>
          <w:tcPr>
            <w:tcW w:w="1601" w:type="pct"/>
            <w:tcBorders>
              <w:tl2br w:val="nil"/>
              <w:tr2bl w:val="nil"/>
            </w:tcBorders>
            <w:vAlign w:val="center"/>
          </w:tcPr>
          <w:p>
            <w:pPr>
              <w:pStyle w:val="23"/>
              <w:rPr>
                <w:rFonts w:cs="Times New Roman"/>
              </w:rPr>
            </w:pPr>
            <w:r>
              <w:rPr>
                <w:rFonts w:cs="Times New Roman"/>
              </w:rPr>
              <w:t>总监工程师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578" w:type="pct"/>
            <w:tcBorders>
              <w:tl2br w:val="nil"/>
              <w:tr2bl w:val="nil"/>
            </w:tcBorders>
            <w:vAlign w:val="center"/>
          </w:tcPr>
          <w:p>
            <w:pPr>
              <w:pStyle w:val="23"/>
              <w:rPr>
                <w:rFonts w:cs="Times New Roman"/>
              </w:rPr>
            </w:pPr>
            <w:r>
              <w:rPr>
                <w:rFonts w:cs="Times New Roman"/>
              </w:rPr>
              <w:t>2</w:t>
            </w:r>
          </w:p>
        </w:tc>
        <w:tc>
          <w:tcPr>
            <w:tcW w:w="1255" w:type="pct"/>
            <w:tcBorders>
              <w:tl2br w:val="nil"/>
              <w:tr2bl w:val="nil"/>
            </w:tcBorders>
            <w:vAlign w:val="center"/>
          </w:tcPr>
          <w:p>
            <w:pPr>
              <w:pStyle w:val="23"/>
              <w:rPr>
                <w:rFonts w:hint="eastAsia" w:eastAsia="仿宋" w:cs="Times New Roman"/>
                <w:lang w:eastAsia="zh-CN"/>
              </w:rPr>
            </w:pPr>
            <w:r>
              <w:rPr>
                <w:rFonts w:hint="eastAsia" w:cs="Times New Roman"/>
                <w:lang w:val="en-US" w:eastAsia="zh-CN"/>
              </w:rPr>
              <w:t>张 强</w:t>
            </w:r>
          </w:p>
        </w:tc>
        <w:tc>
          <w:tcPr>
            <w:tcW w:w="1564" w:type="pct"/>
            <w:tcBorders>
              <w:tl2br w:val="nil"/>
              <w:tr2bl w:val="nil"/>
            </w:tcBorders>
            <w:vAlign w:val="center"/>
          </w:tcPr>
          <w:p>
            <w:pPr>
              <w:pStyle w:val="23"/>
              <w:rPr>
                <w:rFonts w:cs="Times New Roman"/>
              </w:rPr>
            </w:pPr>
            <w:r>
              <w:rPr>
                <w:rFonts w:cs="Times New Roman"/>
              </w:rPr>
              <w:t>工程师</w:t>
            </w:r>
          </w:p>
        </w:tc>
        <w:tc>
          <w:tcPr>
            <w:tcW w:w="1601" w:type="pct"/>
            <w:tcBorders>
              <w:tl2br w:val="nil"/>
              <w:tr2bl w:val="nil"/>
            </w:tcBorders>
            <w:vAlign w:val="center"/>
          </w:tcPr>
          <w:p>
            <w:pPr>
              <w:pStyle w:val="23"/>
              <w:rPr>
                <w:rFonts w:cs="Times New Roman"/>
              </w:rPr>
            </w:pPr>
            <w:r>
              <w:rPr>
                <w:rFonts w:cs="Times New Roman"/>
              </w:rPr>
              <w:t>监测工程师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578" w:type="pct"/>
            <w:tcBorders>
              <w:tl2br w:val="nil"/>
              <w:tr2bl w:val="nil"/>
            </w:tcBorders>
            <w:vAlign w:val="center"/>
          </w:tcPr>
          <w:p>
            <w:pPr>
              <w:pStyle w:val="23"/>
              <w:rPr>
                <w:rFonts w:cs="Times New Roman"/>
              </w:rPr>
            </w:pPr>
            <w:r>
              <w:rPr>
                <w:rFonts w:cs="Times New Roman"/>
              </w:rPr>
              <w:t>3</w:t>
            </w:r>
          </w:p>
        </w:tc>
        <w:tc>
          <w:tcPr>
            <w:tcW w:w="1255" w:type="pct"/>
            <w:tcBorders>
              <w:tl2br w:val="nil"/>
              <w:tr2bl w:val="nil"/>
            </w:tcBorders>
            <w:vAlign w:val="center"/>
          </w:tcPr>
          <w:p>
            <w:pPr>
              <w:pStyle w:val="23"/>
              <w:rPr>
                <w:rFonts w:hint="default" w:cs="Times New Roman"/>
                <w:lang w:val="en-US"/>
              </w:rPr>
            </w:pPr>
            <w:r>
              <w:rPr>
                <w:rFonts w:hint="eastAsia" w:cs="Times New Roman"/>
              </w:rPr>
              <w:t>王</w:t>
            </w:r>
            <w:r>
              <w:rPr>
                <w:rFonts w:hint="eastAsia" w:cs="Times New Roman"/>
                <w:lang w:val="en-US" w:eastAsia="zh-CN"/>
              </w:rPr>
              <w:t xml:space="preserve"> 强</w:t>
            </w:r>
          </w:p>
        </w:tc>
        <w:tc>
          <w:tcPr>
            <w:tcW w:w="1564" w:type="pct"/>
            <w:tcBorders>
              <w:tl2br w:val="nil"/>
              <w:tr2bl w:val="nil"/>
            </w:tcBorders>
            <w:vAlign w:val="center"/>
          </w:tcPr>
          <w:p>
            <w:pPr>
              <w:pStyle w:val="23"/>
              <w:rPr>
                <w:rFonts w:cs="Times New Roman"/>
              </w:rPr>
            </w:pPr>
            <w:r>
              <w:rPr>
                <w:rFonts w:cs="Times New Roman"/>
              </w:rPr>
              <w:t>工程师</w:t>
            </w:r>
          </w:p>
        </w:tc>
        <w:tc>
          <w:tcPr>
            <w:tcW w:w="1601" w:type="pct"/>
            <w:tcBorders>
              <w:tl2br w:val="nil"/>
              <w:tr2bl w:val="nil"/>
            </w:tcBorders>
            <w:vAlign w:val="center"/>
          </w:tcPr>
          <w:p>
            <w:pPr>
              <w:pStyle w:val="23"/>
              <w:rPr>
                <w:rFonts w:cs="Times New Roman"/>
              </w:rPr>
            </w:pPr>
            <w:r>
              <w:rPr>
                <w:rFonts w:cs="Times New Roman"/>
              </w:rPr>
              <w:t>监测工程师</w:t>
            </w:r>
          </w:p>
        </w:tc>
      </w:tr>
    </w:tbl>
    <w:p>
      <w:pPr>
        <w:pStyle w:val="4"/>
        <w:rPr>
          <w:rFonts w:cs="Times New Roman"/>
        </w:rPr>
      </w:pPr>
      <w:r>
        <w:rPr>
          <w:rFonts w:cs="Times New Roman"/>
        </w:rPr>
        <w:t>监测点布设与监测实施情况</w:t>
      </w:r>
    </w:p>
    <w:p>
      <w:pPr>
        <w:ind w:firstLine="480"/>
        <w:rPr>
          <w:rFonts w:cs="Times New Roman"/>
        </w:rPr>
      </w:pPr>
      <w:r>
        <w:rPr>
          <w:rFonts w:hint="eastAsia" w:cs="Times New Roman"/>
        </w:rPr>
        <w:t>本工程为</w:t>
      </w:r>
      <w:r>
        <w:rPr>
          <w:rFonts w:hint="eastAsia" w:cs="Times New Roman"/>
          <w:lang w:eastAsia="zh-CN"/>
        </w:rPr>
        <w:t>点型</w:t>
      </w:r>
      <w:r>
        <w:rPr>
          <w:rFonts w:hint="eastAsia" w:cs="Times New Roman"/>
        </w:rPr>
        <w:t>工程，交通条件良好，扰动变化情况大，水土保持监测主要以全线巡查为主，便于及时发现有无水土流失现象和查验各项水土保持措施布设情况及效果。同时根据现场条件在各监测区布设固定观测站点作细致观测，获取能满足监测目标的数据。本项目的水土流失重点区域为</w:t>
      </w:r>
      <w:r>
        <w:rPr>
          <w:rFonts w:hint="eastAsia" w:cs="Times New Roman"/>
          <w:lang w:eastAsia="zh-CN"/>
        </w:rPr>
        <w:t>绿化防治区</w:t>
      </w:r>
      <w:r>
        <w:rPr>
          <w:rFonts w:hint="eastAsia" w:cs="Times New Roman"/>
        </w:rPr>
        <w:t>，产生水土流失的位置主要集中在挖、填方边坡和临时堆土的坡面。</w:t>
      </w:r>
    </w:p>
    <w:p>
      <w:pPr>
        <w:ind w:firstLine="480"/>
        <w:rPr>
          <w:rFonts w:cs="Times New Roman"/>
        </w:rPr>
      </w:pPr>
      <w:r>
        <w:rPr>
          <w:rFonts w:hint="eastAsia" w:cs="Times New Roman"/>
        </w:rPr>
        <w:t>（1）在</w:t>
      </w:r>
      <w:r>
        <w:rPr>
          <w:rFonts w:hint="eastAsia" w:cs="Times New Roman"/>
          <w:lang w:eastAsia="zh-CN"/>
        </w:rPr>
        <w:t>绿化防治区</w:t>
      </w:r>
      <w:r>
        <w:rPr>
          <w:rFonts w:hint="eastAsia" w:cs="Times New Roman"/>
        </w:rPr>
        <w:t>挖方边坡、填方边坡和表土临时堆放区各位置布设1地面观测点（简易测钎观测场），并辅以巡查监测。</w:t>
      </w:r>
    </w:p>
    <w:p>
      <w:pPr>
        <w:ind w:firstLine="480"/>
        <w:rPr>
          <w:rFonts w:cs="Times New Roman"/>
        </w:rPr>
      </w:pPr>
      <w:r>
        <w:rPr>
          <w:rFonts w:hint="eastAsia" w:cs="Times New Roman"/>
        </w:rPr>
        <w:t>（2）绿化区域设植物样地1个，并辅以巡查监测。</w:t>
      </w:r>
    </w:p>
    <w:p>
      <w:pPr>
        <w:ind w:firstLine="480"/>
        <w:rPr>
          <w:rFonts w:eastAsia="黑体" w:cs="Times New Roman"/>
          <w:snapToGrid w:val="0"/>
          <w:sz w:val="21"/>
          <w:szCs w:val="20"/>
        </w:rPr>
      </w:pPr>
      <w:r>
        <w:rPr>
          <w:rFonts w:hint="eastAsia" w:cs="Times New Roman"/>
        </w:rPr>
        <w:t>在实施水土保持措施之后，在监测以上内容的同时，对工程措施抗倾覆、抗冲刷能力进行监测；对排水设施破坏程度的调查确定排水沟断面大小是否满足设计标准；对植物措施苗木成活率、生长率、覆盖率及地表覆盖层厚度和土壤有机质含量进行调查和测量；监测水土保持各项措施水土保持效益及工程措施的安全、稳定性和植物措施生长发育状况。</w:t>
      </w:r>
    </w:p>
    <w:p>
      <w:pPr>
        <w:pStyle w:val="4"/>
        <w:rPr>
          <w:rFonts w:cs="Times New Roman"/>
        </w:rPr>
      </w:pPr>
      <w:r>
        <w:rPr>
          <w:rFonts w:cs="Times New Roman"/>
        </w:rPr>
        <w:t>监测设施设备</w:t>
      </w:r>
    </w:p>
    <w:p>
      <w:pPr>
        <w:ind w:firstLine="420" w:firstLineChars="0"/>
        <w:rPr>
          <w:rFonts w:cs="Times New Roman"/>
          <w:szCs w:val="24"/>
        </w:rPr>
      </w:pPr>
      <w:r>
        <w:rPr>
          <w:rFonts w:cs="Times New Roman"/>
          <w:szCs w:val="24"/>
        </w:rPr>
        <w:t>水土保持监测设备主要有坡度仪、经纬仪、GPS、皮尺、卷尺、数码相机、摄影机、天平、越野车等。</w:t>
      </w:r>
    </w:p>
    <w:p>
      <w:pPr>
        <w:pStyle w:val="6"/>
        <w:spacing w:before="156" w:after="156"/>
        <w:rPr>
          <w:rFonts w:cs="Times New Roman"/>
          <w:sz w:val="24"/>
        </w:rPr>
      </w:pPr>
      <w:r>
        <w:rPr>
          <w:rFonts w:cs="Times New Roman"/>
        </w:rPr>
        <w:t>表1.3-</w:t>
      </w:r>
      <w:r>
        <w:rPr>
          <w:rFonts w:hint="eastAsia" w:cs="Times New Roman"/>
        </w:rPr>
        <w:t>2</w:t>
      </w:r>
      <w:r>
        <w:rPr>
          <w:rFonts w:cs="Times New Roman"/>
        </w:rPr>
        <w:t xml:space="preserve"> 监测设备种类及数量</w:t>
      </w:r>
    </w:p>
    <w:tbl>
      <w:tblPr>
        <w:tblStyle w:val="13"/>
        <w:tblW w:w="9286" w:type="dxa"/>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084"/>
        <w:gridCol w:w="5156"/>
        <w:gridCol w:w="1553"/>
        <w:gridCol w:w="1493"/>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80" w:hRule="atLeast"/>
        </w:trPr>
        <w:tc>
          <w:tcPr>
            <w:tcW w:w="1084" w:type="dxa"/>
            <w:shd w:val="clear" w:color="auto" w:fill="auto"/>
            <w:noWrap/>
            <w:vAlign w:val="center"/>
          </w:tcPr>
          <w:p>
            <w:pPr>
              <w:pStyle w:val="23"/>
            </w:pPr>
            <w:r>
              <w:t>一</w:t>
            </w:r>
          </w:p>
        </w:tc>
        <w:tc>
          <w:tcPr>
            <w:tcW w:w="5156" w:type="dxa"/>
            <w:shd w:val="clear" w:color="auto" w:fill="auto"/>
            <w:noWrap/>
            <w:vAlign w:val="center"/>
          </w:tcPr>
          <w:p>
            <w:pPr>
              <w:pStyle w:val="23"/>
            </w:pPr>
            <w:r>
              <w:t>消耗性材料</w:t>
            </w:r>
          </w:p>
        </w:tc>
        <w:tc>
          <w:tcPr>
            <w:tcW w:w="1553" w:type="dxa"/>
            <w:shd w:val="clear" w:color="auto" w:fill="auto"/>
            <w:noWrap/>
            <w:vAlign w:val="center"/>
          </w:tcPr>
          <w:p>
            <w:pPr>
              <w:pStyle w:val="23"/>
            </w:pPr>
            <w:r>
              <w:t>单位</w:t>
            </w:r>
          </w:p>
        </w:tc>
        <w:tc>
          <w:tcPr>
            <w:tcW w:w="1493" w:type="dxa"/>
            <w:shd w:val="clear" w:color="auto" w:fill="auto"/>
            <w:noWrap/>
            <w:vAlign w:val="center"/>
          </w:tcPr>
          <w:p>
            <w:pPr>
              <w:pStyle w:val="23"/>
            </w:pPr>
            <w:r>
              <w:t>数量</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84" w:hRule="atLeast"/>
        </w:trPr>
        <w:tc>
          <w:tcPr>
            <w:tcW w:w="1084" w:type="dxa"/>
            <w:shd w:val="clear" w:color="auto" w:fill="auto"/>
            <w:noWrap/>
            <w:vAlign w:val="center"/>
          </w:tcPr>
          <w:p>
            <w:pPr>
              <w:pStyle w:val="23"/>
            </w:pPr>
            <w:r>
              <w:t>1</w:t>
            </w:r>
          </w:p>
        </w:tc>
        <w:tc>
          <w:tcPr>
            <w:tcW w:w="5156" w:type="dxa"/>
            <w:shd w:val="clear" w:color="auto" w:fill="auto"/>
            <w:noWrap/>
            <w:vAlign w:val="center"/>
          </w:tcPr>
          <w:p>
            <w:pPr>
              <w:pStyle w:val="23"/>
            </w:pPr>
            <w:r>
              <w:t>50m皮尺</w:t>
            </w:r>
          </w:p>
        </w:tc>
        <w:tc>
          <w:tcPr>
            <w:tcW w:w="1553" w:type="dxa"/>
            <w:shd w:val="clear" w:color="auto" w:fill="auto"/>
            <w:noWrap/>
            <w:vAlign w:val="center"/>
          </w:tcPr>
          <w:p>
            <w:pPr>
              <w:pStyle w:val="23"/>
            </w:pPr>
            <w:r>
              <w:t>条</w:t>
            </w:r>
          </w:p>
        </w:tc>
        <w:tc>
          <w:tcPr>
            <w:tcW w:w="1493" w:type="dxa"/>
            <w:shd w:val="clear" w:color="auto" w:fill="auto"/>
            <w:noWrap/>
            <w:vAlign w:val="center"/>
          </w:tcPr>
          <w:p>
            <w:pPr>
              <w:pStyle w:val="23"/>
            </w:pPr>
            <w:r>
              <w:t>1</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16" w:hRule="atLeast"/>
        </w:trPr>
        <w:tc>
          <w:tcPr>
            <w:tcW w:w="1084" w:type="dxa"/>
            <w:shd w:val="clear" w:color="auto" w:fill="auto"/>
            <w:noWrap/>
            <w:vAlign w:val="center"/>
          </w:tcPr>
          <w:p>
            <w:pPr>
              <w:pStyle w:val="23"/>
            </w:pPr>
            <w:r>
              <w:t>2</w:t>
            </w:r>
          </w:p>
        </w:tc>
        <w:tc>
          <w:tcPr>
            <w:tcW w:w="5156" w:type="dxa"/>
            <w:shd w:val="clear" w:color="auto" w:fill="auto"/>
            <w:noWrap/>
            <w:vAlign w:val="center"/>
          </w:tcPr>
          <w:p>
            <w:pPr>
              <w:pStyle w:val="23"/>
            </w:pPr>
            <w:r>
              <w:t>钢卷尺</w:t>
            </w:r>
          </w:p>
        </w:tc>
        <w:tc>
          <w:tcPr>
            <w:tcW w:w="1553" w:type="dxa"/>
            <w:shd w:val="clear" w:color="auto" w:fill="auto"/>
            <w:noWrap/>
            <w:vAlign w:val="center"/>
          </w:tcPr>
          <w:p>
            <w:pPr>
              <w:pStyle w:val="23"/>
            </w:pPr>
            <w:r>
              <w:t>把</w:t>
            </w:r>
          </w:p>
        </w:tc>
        <w:tc>
          <w:tcPr>
            <w:tcW w:w="1493" w:type="dxa"/>
            <w:shd w:val="clear" w:color="auto" w:fill="auto"/>
            <w:noWrap/>
            <w:vAlign w:val="center"/>
          </w:tcPr>
          <w:p>
            <w:pPr>
              <w:pStyle w:val="23"/>
            </w:pPr>
            <w:r>
              <w:t>1</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0" w:hRule="atLeast"/>
        </w:trPr>
        <w:tc>
          <w:tcPr>
            <w:tcW w:w="1084" w:type="dxa"/>
            <w:shd w:val="clear" w:color="auto" w:fill="auto"/>
            <w:noWrap/>
            <w:vAlign w:val="center"/>
          </w:tcPr>
          <w:p>
            <w:pPr>
              <w:pStyle w:val="23"/>
            </w:pPr>
            <w:r>
              <w:t>3</w:t>
            </w:r>
          </w:p>
        </w:tc>
        <w:tc>
          <w:tcPr>
            <w:tcW w:w="5156" w:type="dxa"/>
            <w:shd w:val="clear" w:color="auto" w:fill="auto"/>
            <w:noWrap/>
            <w:vAlign w:val="center"/>
          </w:tcPr>
          <w:p>
            <w:pPr>
              <w:pStyle w:val="23"/>
            </w:pPr>
            <w:r>
              <w:t>2m抽式标杆</w:t>
            </w:r>
          </w:p>
        </w:tc>
        <w:tc>
          <w:tcPr>
            <w:tcW w:w="1553" w:type="dxa"/>
            <w:shd w:val="clear" w:color="auto" w:fill="auto"/>
            <w:noWrap/>
            <w:vAlign w:val="center"/>
          </w:tcPr>
          <w:p>
            <w:pPr>
              <w:pStyle w:val="23"/>
            </w:pPr>
            <w:r>
              <w:t>支</w:t>
            </w:r>
          </w:p>
        </w:tc>
        <w:tc>
          <w:tcPr>
            <w:tcW w:w="1493" w:type="dxa"/>
            <w:shd w:val="clear" w:color="auto" w:fill="auto"/>
            <w:noWrap/>
            <w:vAlign w:val="center"/>
          </w:tcPr>
          <w:p>
            <w:pPr>
              <w:pStyle w:val="23"/>
            </w:pPr>
            <w:r>
              <w:t>8</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02" w:hRule="atLeast"/>
        </w:trPr>
        <w:tc>
          <w:tcPr>
            <w:tcW w:w="1084" w:type="dxa"/>
            <w:shd w:val="clear" w:color="auto" w:fill="auto"/>
            <w:noWrap/>
            <w:vAlign w:val="center"/>
          </w:tcPr>
          <w:p>
            <w:pPr>
              <w:pStyle w:val="23"/>
            </w:pPr>
            <w:r>
              <w:t>4</w:t>
            </w:r>
          </w:p>
        </w:tc>
        <w:tc>
          <w:tcPr>
            <w:tcW w:w="5156" w:type="dxa"/>
            <w:shd w:val="clear" w:color="auto" w:fill="auto"/>
            <w:noWrap/>
            <w:vAlign w:val="center"/>
          </w:tcPr>
          <w:p>
            <w:pPr>
              <w:pStyle w:val="23"/>
            </w:pPr>
            <w:r>
              <w:t>取样玻璃仪器（三角瓶，量杯）</w:t>
            </w:r>
          </w:p>
        </w:tc>
        <w:tc>
          <w:tcPr>
            <w:tcW w:w="1553" w:type="dxa"/>
            <w:shd w:val="clear" w:color="auto" w:fill="auto"/>
            <w:noWrap/>
            <w:vAlign w:val="center"/>
          </w:tcPr>
          <w:p>
            <w:pPr>
              <w:pStyle w:val="23"/>
            </w:pPr>
            <w:r>
              <w:t>个</w:t>
            </w:r>
          </w:p>
        </w:tc>
        <w:tc>
          <w:tcPr>
            <w:tcW w:w="1493" w:type="dxa"/>
            <w:shd w:val="clear" w:color="auto" w:fill="auto"/>
            <w:noWrap/>
            <w:vAlign w:val="center"/>
          </w:tcPr>
          <w:p>
            <w:pPr>
              <w:pStyle w:val="23"/>
            </w:pPr>
            <w:r>
              <w:t>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0" w:hRule="atLeast"/>
        </w:trPr>
        <w:tc>
          <w:tcPr>
            <w:tcW w:w="1084" w:type="dxa"/>
            <w:shd w:val="clear" w:color="auto" w:fill="auto"/>
            <w:noWrap/>
            <w:vAlign w:val="center"/>
          </w:tcPr>
          <w:p>
            <w:pPr>
              <w:pStyle w:val="23"/>
            </w:pPr>
            <w:r>
              <w:t>5</w:t>
            </w:r>
          </w:p>
        </w:tc>
        <w:tc>
          <w:tcPr>
            <w:tcW w:w="5156" w:type="dxa"/>
            <w:shd w:val="clear" w:color="auto" w:fill="auto"/>
            <w:noWrap/>
            <w:vAlign w:val="center"/>
          </w:tcPr>
          <w:p>
            <w:pPr>
              <w:pStyle w:val="23"/>
            </w:pPr>
            <w:r>
              <w:t>采样工具（铁铲、水桶）</w:t>
            </w:r>
          </w:p>
        </w:tc>
        <w:tc>
          <w:tcPr>
            <w:tcW w:w="1553" w:type="dxa"/>
            <w:shd w:val="clear" w:color="auto" w:fill="auto"/>
            <w:noWrap/>
            <w:vAlign w:val="center"/>
          </w:tcPr>
          <w:p>
            <w:pPr>
              <w:pStyle w:val="23"/>
            </w:pPr>
            <w:r>
              <w:t>批</w:t>
            </w:r>
          </w:p>
        </w:tc>
        <w:tc>
          <w:tcPr>
            <w:tcW w:w="1493" w:type="dxa"/>
            <w:shd w:val="clear" w:color="auto" w:fill="auto"/>
            <w:noWrap/>
            <w:vAlign w:val="center"/>
          </w:tcPr>
          <w:p>
            <w:pPr>
              <w:pStyle w:val="23"/>
            </w:pPr>
            <w:r>
              <w:t>1</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0" w:hRule="atLeast"/>
        </w:trPr>
        <w:tc>
          <w:tcPr>
            <w:tcW w:w="1084" w:type="dxa"/>
            <w:shd w:val="clear" w:color="auto" w:fill="auto"/>
            <w:noWrap/>
            <w:vAlign w:val="center"/>
          </w:tcPr>
          <w:p>
            <w:pPr>
              <w:pStyle w:val="23"/>
            </w:pPr>
            <w:r>
              <w:t>二</w:t>
            </w:r>
          </w:p>
        </w:tc>
        <w:tc>
          <w:tcPr>
            <w:tcW w:w="5156" w:type="dxa"/>
            <w:shd w:val="clear" w:color="auto" w:fill="auto"/>
            <w:noWrap/>
            <w:vAlign w:val="center"/>
          </w:tcPr>
          <w:p>
            <w:pPr>
              <w:pStyle w:val="23"/>
            </w:pPr>
            <w:r>
              <w:t>损耗性设备</w:t>
            </w:r>
          </w:p>
        </w:tc>
        <w:tc>
          <w:tcPr>
            <w:tcW w:w="1553" w:type="dxa"/>
            <w:shd w:val="clear" w:color="auto" w:fill="auto"/>
            <w:noWrap/>
            <w:vAlign w:val="center"/>
          </w:tcPr>
          <w:p>
            <w:pPr>
              <w:pStyle w:val="23"/>
            </w:pPr>
            <w:r>
              <w:t>单位</w:t>
            </w:r>
          </w:p>
        </w:tc>
        <w:tc>
          <w:tcPr>
            <w:tcW w:w="1493" w:type="dxa"/>
            <w:shd w:val="clear" w:color="auto" w:fill="auto"/>
            <w:noWrap/>
            <w:vAlign w:val="center"/>
          </w:tcPr>
          <w:p>
            <w:pPr>
              <w:pStyle w:val="23"/>
            </w:pPr>
            <w:r>
              <w:t>数量</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0" w:hRule="atLeast"/>
        </w:trPr>
        <w:tc>
          <w:tcPr>
            <w:tcW w:w="1084" w:type="dxa"/>
            <w:shd w:val="clear" w:color="auto" w:fill="auto"/>
            <w:noWrap/>
            <w:vAlign w:val="center"/>
          </w:tcPr>
          <w:p>
            <w:pPr>
              <w:pStyle w:val="23"/>
            </w:pPr>
            <w:r>
              <w:t>1</w:t>
            </w:r>
          </w:p>
        </w:tc>
        <w:tc>
          <w:tcPr>
            <w:tcW w:w="5156" w:type="dxa"/>
            <w:shd w:val="clear" w:color="auto" w:fill="auto"/>
            <w:noWrap/>
            <w:vAlign w:val="center"/>
          </w:tcPr>
          <w:p>
            <w:pPr>
              <w:pStyle w:val="23"/>
            </w:pPr>
            <w:r>
              <w:t>GPS定位仪</w:t>
            </w:r>
          </w:p>
        </w:tc>
        <w:tc>
          <w:tcPr>
            <w:tcW w:w="1553" w:type="dxa"/>
            <w:shd w:val="clear" w:color="auto" w:fill="auto"/>
            <w:noWrap/>
            <w:vAlign w:val="center"/>
          </w:tcPr>
          <w:p>
            <w:pPr>
              <w:pStyle w:val="23"/>
            </w:pPr>
            <w:r>
              <w:t>台</w:t>
            </w:r>
          </w:p>
        </w:tc>
        <w:tc>
          <w:tcPr>
            <w:tcW w:w="1493" w:type="dxa"/>
            <w:shd w:val="clear" w:color="auto" w:fill="auto"/>
            <w:noWrap/>
            <w:vAlign w:val="center"/>
          </w:tcPr>
          <w:p>
            <w:pPr>
              <w:pStyle w:val="23"/>
            </w:pPr>
            <w:r>
              <w:t>1</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0" w:hRule="atLeast"/>
        </w:trPr>
        <w:tc>
          <w:tcPr>
            <w:tcW w:w="1084" w:type="dxa"/>
            <w:shd w:val="clear" w:color="auto" w:fill="auto"/>
            <w:noWrap/>
            <w:vAlign w:val="center"/>
          </w:tcPr>
          <w:p>
            <w:pPr>
              <w:pStyle w:val="23"/>
            </w:pPr>
            <w:r>
              <w:t>2</w:t>
            </w:r>
          </w:p>
        </w:tc>
        <w:tc>
          <w:tcPr>
            <w:tcW w:w="5156" w:type="dxa"/>
            <w:shd w:val="clear" w:color="auto" w:fill="auto"/>
            <w:noWrap/>
            <w:vAlign w:val="center"/>
          </w:tcPr>
          <w:p>
            <w:pPr>
              <w:pStyle w:val="23"/>
            </w:pPr>
            <w:r>
              <w:t>全站仪</w:t>
            </w:r>
          </w:p>
        </w:tc>
        <w:tc>
          <w:tcPr>
            <w:tcW w:w="1553" w:type="dxa"/>
            <w:shd w:val="clear" w:color="auto" w:fill="auto"/>
            <w:noWrap/>
            <w:vAlign w:val="center"/>
          </w:tcPr>
          <w:p>
            <w:pPr>
              <w:pStyle w:val="23"/>
            </w:pPr>
            <w:r>
              <w:t>台</w:t>
            </w:r>
          </w:p>
        </w:tc>
        <w:tc>
          <w:tcPr>
            <w:tcW w:w="1493" w:type="dxa"/>
            <w:shd w:val="clear" w:color="auto" w:fill="auto"/>
            <w:noWrap/>
            <w:vAlign w:val="center"/>
          </w:tcPr>
          <w:p>
            <w:pPr>
              <w:pStyle w:val="23"/>
            </w:pPr>
            <w:r>
              <w:t>1</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34" w:hRule="atLeast"/>
        </w:trPr>
        <w:tc>
          <w:tcPr>
            <w:tcW w:w="1084" w:type="dxa"/>
            <w:shd w:val="clear" w:color="auto" w:fill="auto"/>
            <w:noWrap/>
            <w:vAlign w:val="center"/>
          </w:tcPr>
          <w:p>
            <w:pPr>
              <w:pStyle w:val="23"/>
            </w:pPr>
            <w:r>
              <w:t>3</w:t>
            </w:r>
          </w:p>
        </w:tc>
        <w:tc>
          <w:tcPr>
            <w:tcW w:w="5156" w:type="dxa"/>
            <w:shd w:val="clear" w:color="auto" w:fill="auto"/>
            <w:noWrap/>
            <w:vAlign w:val="center"/>
          </w:tcPr>
          <w:p>
            <w:pPr>
              <w:pStyle w:val="23"/>
            </w:pPr>
            <w:r>
              <w:t>数码相机</w:t>
            </w:r>
          </w:p>
        </w:tc>
        <w:tc>
          <w:tcPr>
            <w:tcW w:w="1553" w:type="dxa"/>
            <w:shd w:val="clear" w:color="auto" w:fill="auto"/>
            <w:noWrap/>
            <w:vAlign w:val="center"/>
          </w:tcPr>
          <w:p>
            <w:pPr>
              <w:pStyle w:val="23"/>
            </w:pPr>
            <w:r>
              <w:t>台</w:t>
            </w:r>
          </w:p>
        </w:tc>
        <w:tc>
          <w:tcPr>
            <w:tcW w:w="1493" w:type="dxa"/>
            <w:shd w:val="clear" w:color="auto" w:fill="auto"/>
            <w:noWrap/>
            <w:vAlign w:val="center"/>
          </w:tcPr>
          <w:p>
            <w:pPr>
              <w:pStyle w:val="23"/>
            </w:pPr>
            <w:r>
              <w:t>1</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66" w:hRule="atLeast"/>
        </w:trPr>
        <w:tc>
          <w:tcPr>
            <w:tcW w:w="1084" w:type="dxa"/>
            <w:shd w:val="clear" w:color="auto" w:fill="auto"/>
            <w:noWrap/>
            <w:vAlign w:val="center"/>
          </w:tcPr>
          <w:p>
            <w:pPr>
              <w:pStyle w:val="23"/>
            </w:pPr>
            <w:r>
              <w:t>4</w:t>
            </w:r>
          </w:p>
        </w:tc>
        <w:tc>
          <w:tcPr>
            <w:tcW w:w="5156" w:type="dxa"/>
            <w:shd w:val="clear" w:color="auto" w:fill="auto"/>
            <w:noWrap/>
            <w:vAlign w:val="center"/>
          </w:tcPr>
          <w:p>
            <w:pPr>
              <w:pStyle w:val="23"/>
            </w:pPr>
            <w:r>
              <w:t>手提电脑</w:t>
            </w:r>
          </w:p>
        </w:tc>
        <w:tc>
          <w:tcPr>
            <w:tcW w:w="1553" w:type="dxa"/>
            <w:shd w:val="clear" w:color="auto" w:fill="auto"/>
            <w:noWrap/>
            <w:vAlign w:val="center"/>
          </w:tcPr>
          <w:p>
            <w:pPr>
              <w:pStyle w:val="23"/>
            </w:pPr>
            <w:r>
              <w:t>台</w:t>
            </w:r>
          </w:p>
        </w:tc>
        <w:tc>
          <w:tcPr>
            <w:tcW w:w="1493" w:type="dxa"/>
            <w:shd w:val="clear" w:color="auto" w:fill="auto"/>
            <w:noWrap/>
            <w:vAlign w:val="center"/>
          </w:tcPr>
          <w:p>
            <w:pPr>
              <w:pStyle w:val="23"/>
            </w:pPr>
            <w:r>
              <w:t>1</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0" w:hRule="atLeast"/>
        </w:trPr>
        <w:tc>
          <w:tcPr>
            <w:tcW w:w="1084" w:type="dxa"/>
            <w:shd w:val="clear" w:color="auto" w:fill="auto"/>
            <w:noWrap/>
            <w:vAlign w:val="center"/>
          </w:tcPr>
          <w:p>
            <w:pPr>
              <w:pStyle w:val="23"/>
            </w:pPr>
            <w:r>
              <w:t>5</w:t>
            </w:r>
          </w:p>
        </w:tc>
        <w:tc>
          <w:tcPr>
            <w:tcW w:w="5156" w:type="dxa"/>
            <w:shd w:val="clear" w:color="auto" w:fill="auto"/>
            <w:noWrap/>
            <w:vAlign w:val="center"/>
          </w:tcPr>
          <w:p>
            <w:pPr>
              <w:pStyle w:val="23"/>
            </w:pPr>
            <w:r>
              <w:t>土壤水分测定仪</w:t>
            </w:r>
          </w:p>
        </w:tc>
        <w:tc>
          <w:tcPr>
            <w:tcW w:w="1553" w:type="dxa"/>
            <w:shd w:val="clear" w:color="auto" w:fill="auto"/>
            <w:noWrap/>
            <w:vAlign w:val="center"/>
          </w:tcPr>
          <w:p>
            <w:pPr>
              <w:pStyle w:val="23"/>
            </w:pPr>
            <w:r>
              <w:t>台</w:t>
            </w:r>
          </w:p>
        </w:tc>
        <w:tc>
          <w:tcPr>
            <w:tcW w:w="1493" w:type="dxa"/>
            <w:shd w:val="clear" w:color="auto" w:fill="auto"/>
            <w:noWrap/>
            <w:vAlign w:val="center"/>
          </w:tcPr>
          <w:p>
            <w:pPr>
              <w:pStyle w:val="23"/>
            </w:pPr>
            <w:r>
              <w:t>1</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0" w:hRule="atLeast"/>
        </w:trPr>
        <w:tc>
          <w:tcPr>
            <w:tcW w:w="1084" w:type="dxa"/>
            <w:shd w:val="clear" w:color="auto" w:fill="auto"/>
            <w:noWrap/>
            <w:vAlign w:val="center"/>
          </w:tcPr>
          <w:p>
            <w:pPr>
              <w:pStyle w:val="23"/>
            </w:pPr>
            <w:r>
              <w:t>6</w:t>
            </w:r>
          </w:p>
        </w:tc>
        <w:tc>
          <w:tcPr>
            <w:tcW w:w="5156" w:type="dxa"/>
            <w:shd w:val="clear" w:color="auto" w:fill="auto"/>
            <w:noWrap/>
            <w:vAlign w:val="center"/>
          </w:tcPr>
          <w:p>
            <w:pPr>
              <w:pStyle w:val="23"/>
            </w:pPr>
            <w:r>
              <w:t>烘箱</w:t>
            </w:r>
          </w:p>
        </w:tc>
        <w:tc>
          <w:tcPr>
            <w:tcW w:w="1553" w:type="dxa"/>
            <w:shd w:val="clear" w:color="auto" w:fill="auto"/>
            <w:noWrap/>
            <w:vAlign w:val="center"/>
          </w:tcPr>
          <w:p>
            <w:pPr>
              <w:pStyle w:val="23"/>
            </w:pPr>
            <w:r>
              <w:t>台</w:t>
            </w:r>
          </w:p>
        </w:tc>
        <w:tc>
          <w:tcPr>
            <w:tcW w:w="1493" w:type="dxa"/>
            <w:shd w:val="clear" w:color="auto" w:fill="auto"/>
            <w:noWrap/>
            <w:vAlign w:val="center"/>
          </w:tcPr>
          <w:p>
            <w:pPr>
              <w:pStyle w:val="23"/>
            </w:pPr>
            <w:r>
              <w:t>1</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20" w:hRule="atLeast"/>
        </w:trPr>
        <w:tc>
          <w:tcPr>
            <w:tcW w:w="1084" w:type="dxa"/>
            <w:shd w:val="clear" w:color="auto" w:fill="auto"/>
            <w:noWrap/>
            <w:vAlign w:val="center"/>
          </w:tcPr>
          <w:p>
            <w:pPr>
              <w:pStyle w:val="23"/>
            </w:pPr>
            <w:r>
              <w:t>7</w:t>
            </w:r>
          </w:p>
        </w:tc>
        <w:tc>
          <w:tcPr>
            <w:tcW w:w="5156" w:type="dxa"/>
            <w:shd w:val="clear" w:color="auto" w:fill="auto"/>
            <w:noWrap/>
            <w:vAlign w:val="center"/>
          </w:tcPr>
          <w:p>
            <w:pPr>
              <w:pStyle w:val="23"/>
            </w:pPr>
            <w:r>
              <w:t>雨量计</w:t>
            </w:r>
          </w:p>
        </w:tc>
        <w:tc>
          <w:tcPr>
            <w:tcW w:w="1553" w:type="dxa"/>
            <w:shd w:val="clear" w:color="auto" w:fill="auto"/>
            <w:noWrap/>
            <w:vAlign w:val="center"/>
          </w:tcPr>
          <w:p>
            <w:pPr>
              <w:pStyle w:val="23"/>
            </w:pPr>
            <w:r>
              <w:t>台</w:t>
            </w:r>
          </w:p>
        </w:tc>
        <w:tc>
          <w:tcPr>
            <w:tcW w:w="1493" w:type="dxa"/>
            <w:shd w:val="clear" w:color="auto" w:fill="auto"/>
            <w:noWrap/>
            <w:vAlign w:val="center"/>
          </w:tcPr>
          <w:p>
            <w:pPr>
              <w:pStyle w:val="23"/>
            </w:pPr>
            <w:r>
              <w:t>1</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0" w:hRule="atLeast"/>
        </w:trPr>
        <w:tc>
          <w:tcPr>
            <w:tcW w:w="1084" w:type="dxa"/>
            <w:shd w:val="clear" w:color="auto" w:fill="auto"/>
            <w:noWrap/>
            <w:vAlign w:val="center"/>
          </w:tcPr>
          <w:p>
            <w:pPr>
              <w:pStyle w:val="23"/>
            </w:pPr>
            <w:r>
              <w:t>8</w:t>
            </w:r>
          </w:p>
        </w:tc>
        <w:tc>
          <w:tcPr>
            <w:tcW w:w="5156" w:type="dxa"/>
            <w:shd w:val="clear" w:color="auto" w:fill="auto"/>
            <w:noWrap/>
            <w:vAlign w:val="center"/>
          </w:tcPr>
          <w:p>
            <w:pPr>
              <w:pStyle w:val="23"/>
            </w:pPr>
            <w:r>
              <w:t>天平</w:t>
            </w:r>
          </w:p>
        </w:tc>
        <w:tc>
          <w:tcPr>
            <w:tcW w:w="1553" w:type="dxa"/>
            <w:shd w:val="clear" w:color="auto" w:fill="auto"/>
            <w:noWrap/>
            <w:vAlign w:val="center"/>
          </w:tcPr>
          <w:p>
            <w:pPr>
              <w:pStyle w:val="23"/>
            </w:pPr>
            <w:r>
              <w:t>台</w:t>
            </w:r>
          </w:p>
        </w:tc>
        <w:tc>
          <w:tcPr>
            <w:tcW w:w="1493" w:type="dxa"/>
            <w:shd w:val="clear" w:color="auto" w:fill="auto"/>
            <w:noWrap/>
            <w:vAlign w:val="center"/>
          </w:tcPr>
          <w:p>
            <w:pPr>
              <w:pStyle w:val="23"/>
            </w:pPr>
            <w:r>
              <w:t>1</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0" w:hRule="atLeast"/>
        </w:trPr>
        <w:tc>
          <w:tcPr>
            <w:tcW w:w="1084" w:type="dxa"/>
            <w:shd w:val="clear" w:color="auto" w:fill="auto"/>
            <w:noWrap/>
            <w:vAlign w:val="center"/>
          </w:tcPr>
          <w:p>
            <w:pPr>
              <w:pStyle w:val="23"/>
            </w:pPr>
            <w:r>
              <w:t>9</w:t>
            </w:r>
          </w:p>
        </w:tc>
        <w:tc>
          <w:tcPr>
            <w:tcW w:w="5156" w:type="dxa"/>
            <w:shd w:val="clear" w:color="auto" w:fill="auto"/>
            <w:noWrap/>
            <w:vAlign w:val="center"/>
          </w:tcPr>
          <w:p>
            <w:pPr>
              <w:pStyle w:val="23"/>
            </w:pPr>
            <w:r>
              <w:t>测高仪</w:t>
            </w:r>
          </w:p>
        </w:tc>
        <w:tc>
          <w:tcPr>
            <w:tcW w:w="1553" w:type="dxa"/>
            <w:shd w:val="clear" w:color="auto" w:fill="auto"/>
            <w:noWrap/>
            <w:vAlign w:val="center"/>
          </w:tcPr>
          <w:p>
            <w:pPr>
              <w:pStyle w:val="23"/>
            </w:pPr>
            <w:r>
              <w:t>个</w:t>
            </w:r>
          </w:p>
        </w:tc>
        <w:tc>
          <w:tcPr>
            <w:tcW w:w="1493" w:type="dxa"/>
            <w:shd w:val="clear" w:color="auto" w:fill="auto"/>
            <w:noWrap/>
            <w:vAlign w:val="center"/>
          </w:tcPr>
          <w:p>
            <w:pPr>
              <w:pStyle w:val="23"/>
            </w:pPr>
            <w:r>
              <w:t>1</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4" w:hRule="atLeast"/>
        </w:trPr>
        <w:tc>
          <w:tcPr>
            <w:tcW w:w="1084" w:type="dxa"/>
            <w:shd w:val="clear" w:color="auto" w:fill="auto"/>
            <w:noWrap/>
            <w:vAlign w:val="center"/>
          </w:tcPr>
          <w:p>
            <w:pPr>
              <w:pStyle w:val="23"/>
            </w:pPr>
            <w:r>
              <w:t>10</w:t>
            </w:r>
          </w:p>
        </w:tc>
        <w:tc>
          <w:tcPr>
            <w:tcW w:w="5156" w:type="dxa"/>
            <w:shd w:val="clear" w:color="auto" w:fill="auto"/>
            <w:noWrap/>
            <w:vAlign w:val="center"/>
          </w:tcPr>
          <w:p>
            <w:pPr>
              <w:pStyle w:val="23"/>
            </w:pPr>
            <w:r>
              <w:t>坡度仪</w:t>
            </w:r>
          </w:p>
        </w:tc>
        <w:tc>
          <w:tcPr>
            <w:tcW w:w="1553" w:type="dxa"/>
            <w:shd w:val="clear" w:color="auto" w:fill="auto"/>
            <w:noWrap/>
            <w:vAlign w:val="center"/>
          </w:tcPr>
          <w:p>
            <w:pPr>
              <w:pStyle w:val="23"/>
            </w:pPr>
            <w:r>
              <w:t>台</w:t>
            </w:r>
          </w:p>
        </w:tc>
        <w:tc>
          <w:tcPr>
            <w:tcW w:w="1493" w:type="dxa"/>
            <w:shd w:val="clear" w:color="auto" w:fill="auto"/>
            <w:noWrap/>
            <w:vAlign w:val="center"/>
          </w:tcPr>
          <w:p>
            <w:pPr>
              <w:pStyle w:val="23"/>
            </w:pPr>
            <w:r>
              <w:t>1</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4" w:hRule="atLeast"/>
        </w:trPr>
        <w:tc>
          <w:tcPr>
            <w:tcW w:w="1084" w:type="dxa"/>
            <w:shd w:val="clear" w:color="auto" w:fill="auto"/>
            <w:noWrap/>
            <w:vAlign w:val="center"/>
          </w:tcPr>
          <w:p>
            <w:pPr>
              <w:pStyle w:val="23"/>
            </w:pPr>
            <w:r>
              <w:t>11</w:t>
            </w:r>
          </w:p>
        </w:tc>
        <w:tc>
          <w:tcPr>
            <w:tcW w:w="5156" w:type="dxa"/>
            <w:shd w:val="clear" w:color="auto" w:fill="auto"/>
            <w:noWrap/>
            <w:vAlign w:val="center"/>
          </w:tcPr>
          <w:p>
            <w:pPr>
              <w:pStyle w:val="23"/>
            </w:pPr>
            <w:r>
              <w:t>测绳</w:t>
            </w:r>
          </w:p>
        </w:tc>
        <w:tc>
          <w:tcPr>
            <w:tcW w:w="1553" w:type="dxa"/>
            <w:shd w:val="clear" w:color="auto" w:fill="auto"/>
            <w:noWrap/>
            <w:vAlign w:val="center"/>
          </w:tcPr>
          <w:p>
            <w:pPr>
              <w:pStyle w:val="23"/>
            </w:pPr>
            <w:r>
              <w:t>根</w:t>
            </w:r>
          </w:p>
        </w:tc>
        <w:tc>
          <w:tcPr>
            <w:tcW w:w="1493" w:type="dxa"/>
            <w:shd w:val="clear" w:color="auto" w:fill="auto"/>
            <w:noWrap/>
            <w:vAlign w:val="center"/>
          </w:tcPr>
          <w:p>
            <w:pPr>
              <w:pStyle w:val="23"/>
            </w:pPr>
            <w:r>
              <w:t>10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4" w:hRule="atLeast"/>
        </w:trPr>
        <w:tc>
          <w:tcPr>
            <w:tcW w:w="1084" w:type="dxa"/>
            <w:shd w:val="clear" w:color="auto" w:fill="auto"/>
            <w:noWrap/>
            <w:vAlign w:val="center"/>
          </w:tcPr>
          <w:p>
            <w:pPr>
              <w:pStyle w:val="23"/>
            </w:pPr>
            <w:r>
              <w:t>12</w:t>
            </w:r>
          </w:p>
        </w:tc>
        <w:tc>
          <w:tcPr>
            <w:tcW w:w="5156" w:type="dxa"/>
            <w:shd w:val="clear" w:color="auto" w:fill="auto"/>
            <w:noWrap/>
            <w:vAlign w:val="center"/>
          </w:tcPr>
          <w:p>
            <w:pPr>
              <w:pStyle w:val="23"/>
            </w:pPr>
            <w:r>
              <w:t>竹、木钎</w:t>
            </w:r>
          </w:p>
        </w:tc>
        <w:tc>
          <w:tcPr>
            <w:tcW w:w="1553" w:type="dxa"/>
            <w:shd w:val="clear" w:color="auto" w:fill="auto"/>
            <w:noWrap/>
            <w:vAlign w:val="center"/>
          </w:tcPr>
          <w:p>
            <w:pPr>
              <w:pStyle w:val="23"/>
            </w:pPr>
            <w:r>
              <w:t>根</w:t>
            </w:r>
          </w:p>
        </w:tc>
        <w:tc>
          <w:tcPr>
            <w:tcW w:w="1493" w:type="dxa"/>
            <w:shd w:val="clear" w:color="auto" w:fill="auto"/>
            <w:noWrap/>
            <w:vAlign w:val="center"/>
          </w:tcPr>
          <w:p>
            <w:pPr>
              <w:pStyle w:val="23"/>
            </w:pPr>
            <w:r>
              <w:t>30</w:t>
            </w:r>
          </w:p>
        </w:tc>
      </w:tr>
    </w:tbl>
    <w:p>
      <w:pPr>
        <w:ind w:firstLine="0" w:firstLineChars="0"/>
        <w:rPr>
          <w:rFonts w:cs="Times New Roman"/>
        </w:rPr>
      </w:pPr>
    </w:p>
    <w:tbl>
      <w:tblPr>
        <w:tblStyle w:val="13"/>
        <w:tblW w:w="9286"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643"/>
        <w:gridCol w:w="464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643" w:type="dxa"/>
            <w:tcBorders>
              <w:tl2br w:val="nil"/>
              <w:tr2bl w:val="nil"/>
            </w:tcBorders>
            <w:shd w:val="clear" w:color="auto" w:fill="auto"/>
            <w:noWrap/>
            <w:vAlign w:val="center"/>
          </w:tcPr>
          <w:p>
            <w:pPr>
              <w:ind w:firstLine="480"/>
              <w:jc w:val="center"/>
              <w:rPr>
                <w:rFonts w:cs="Times New Roman"/>
                <w:color w:val="000000"/>
                <w:kern w:val="0"/>
                <w:sz w:val="22"/>
              </w:rPr>
            </w:pPr>
            <w:r>
              <w:rPr>
                <w:rFonts w:cs="Times New Roman"/>
              </w:rPr>
              <w:br w:type="page"/>
            </w:r>
            <w:r>
              <w:rPr>
                <w:rFonts w:eastAsia="仿宋" w:cs="Times New Roman"/>
                <w:color w:val="FF0000"/>
                <w:szCs w:val="24"/>
              </w:rPr>
              <w:drawing>
                <wp:inline distT="0" distB="0" distL="0" distR="0">
                  <wp:extent cx="2677795" cy="1935480"/>
                  <wp:effectExtent l="0" t="0" r="8255" b="762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noChangeArrowheads="1"/>
                          </pic:cNvPicPr>
                        </pic:nvPicPr>
                        <pic:blipFill>
                          <a:blip r:embed="rId15">
                            <a:extLst>
                              <a:ext uri="{28A0092B-C50C-407E-A947-70E740481C1C}">
                                <a14:useLocalDpi xmlns:a14="http://schemas.microsoft.com/office/drawing/2010/main" val="0"/>
                              </a:ext>
                            </a:extLst>
                          </a:blip>
                          <a:srcRect l="2759" t="1863" r="53836" b="73645"/>
                          <a:stretch>
                            <a:fillRect/>
                          </a:stretch>
                        </pic:blipFill>
                        <pic:spPr>
                          <a:xfrm>
                            <a:off x="0" y="0"/>
                            <a:ext cx="2677795" cy="1935480"/>
                          </a:xfrm>
                          <a:prstGeom prst="rect">
                            <a:avLst/>
                          </a:prstGeom>
                          <a:noFill/>
                          <a:ln>
                            <a:noFill/>
                          </a:ln>
                        </pic:spPr>
                      </pic:pic>
                    </a:graphicData>
                  </a:graphic>
                </wp:inline>
              </w:drawing>
            </w:r>
          </w:p>
        </w:tc>
        <w:tc>
          <w:tcPr>
            <w:tcW w:w="4643" w:type="dxa"/>
            <w:tcBorders>
              <w:tl2br w:val="nil"/>
              <w:tr2bl w:val="nil"/>
            </w:tcBorders>
            <w:shd w:val="clear" w:color="auto" w:fill="auto"/>
            <w:noWrap/>
            <w:vAlign w:val="center"/>
          </w:tcPr>
          <w:p>
            <w:pPr>
              <w:widowControl/>
              <w:ind w:firstLine="0" w:firstLineChars="0"/>
              <w:jc w:val="center"/>
              <w:rPr>
                <w:rFonts w:cs="Times New Roman"/>
                <w:color w:val="000000"/>
                <w:kern w:val="0"/>
                <w:sz w:val="22"/>
              </w:rPr>
            </w:pPr>
            <w:r>
              <w:rPr>
                <w:rFonts w:eastAsia="仿宋" w:cs="Times New Roman"/>
                <w:color w:val="FF0000"/>
                <w:szCs w:val="24"/>
              </w:rPr>
              <w:drawing>
                <wp:inline distT="0" distB="0" distL="0" distR="0">
                  <wp:extent cx="2707640" cy="1941830"/>
                  <wp:effectExtent l="0" t="0" r="0" b="127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15">
                            <a:extLst>
                              <a:ext uri="{28A0092B-C50C-407E-A947-70E740481C1C}">
                                <a14:useLocalDpi xmlns:a14="http://schemas.microsoft.com/office/drawing/2010/main" val="0"/>
                              </a:ext>
                            </a:extLst>
                          </a:blip>
                          <a:srcRect l="50967" t="1863" r="4671" b="73645"/>
                          <a:stretch>
                            <a:fillRect/>
                          </a:stretch>
                        </pic:blipFill>
                        <pic:spPr>
                          <a:xfrm>
                            <a:off x="0" y="0"/>
                            <a:ext cx="2707640" cy="1941830"/>
                          </a:xfrm>
                          <a:prstGeom prst="rect">
                            <a:avLst/>
                          </a:prstGeom>
                          <a:noFill/>
                          <a:ln>
                            <a:noFill/>
                          </a:ln>
                        </pic:spPr>
                      </pic:pic>
                    </a:graphicData>
                  </a:graphic>
                </wp:inline>
              </w:drawing>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643" w:type="dxa"/>
            <w:tcBorders>
              <w:tl2br w:val="nil"/>
              <w:tr2bl w:val="nil"/>
            </w:tcBorders>
            <w:shd w:val="clear" w:color="auto" w:fill="auto"/>
            <w:noWrap/>
            <w:vAlign w:val="center"/>
          </w:tcPr>
          <w:p>
            <w:pPr>
              <w:widowControl/>
              <w:ind w:firstLine="0" w:firstLineChars="0"/>
              <w:jc w:val="center"/>
              <w:rPr>
                <w:rStyle w:val="30"/>
                <w:rFonts w:ascii="黑体" w:hAnsi="黑体" w:eastAsia="黑体" w:cs="黑体"/>
                <w:b w:val="0"/>
                <w:bCs/>
                <w:szCs w:val="24"/>
              </w:rPr>
            </w:pPr>
            <w:r>
              <w:rPr>
                <w:rStyle w:val="30"/>
                <w:rFonts w:hint="eastAsia" w:ascii="黑体" w:hAnsi="黑体" w:eastAsia="黑体" w:cs="黑体"/>
                <w:b w:val="0"/>
                <w:bCs/>
                <w:szCs w:val="24"/>
              </w:rPr>
              <w:t>手持GPS</w:t>
            </w:r>
          </w:p>
        </w:tc>
        <w:tc>
          <w:tcPr>
            <w:tcW w:w="4643" w:type="dxa"/>
            <w:tcBorders>
              <w:tl2br w:val="nil"/>
              <w:tr2bl w:val="nil"/>
            </w:tcBorders>
            <w:shd w:val="clear" w:color="auto" w:fill="auto"/>
            <w:noWrap/>
            <w:vAlign w:val="center"/>
          </w:tcPr>
          <w:p>
            <w:pPr>
              <w:widowControl/>
              <w:ind w:firstLine="0" w:firstLineChars="0"/>
              <w:jc w:val="center"/>
              <w:rPr>
                <w:rStyle w:val="30"/>
                <w:rFonts w:ascii="黑体" w:hAnsi="黑体" w:eastAsia="黑体" w:cs="黑体"/>
                <w:b w:val="0"/>
                <w:bCs/>
                <w:szCs w:val="24"/>
              </w:rPr>
            </w:pPr>
            <w:r>
              <w:rPr>
                <w:rStyle w:val="30"/>
                <w:rFonts w:hint="eastAsia" w:ascii="黑体" w:hAnsi="黑体" w:eastAsia="黑体" w:cs="黑体"/>
                <w:b w:val="0"/>
                <w:bCs/>
                <w:szCs w:val="24"/>
              </w:rPr>
              <w:t>测高仪</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643" w:type="dxa"/>
            <w:tcBorders>
              <w:tl2br w:val="nil"/>
              <w:tr2bl w:val="nil"/>
            </w:tcBorders>
            <w:shd w:val="clear" w:color="auto" w:fill="auto"/>
            <w:noWrap/>
            <w:vAlign w:val="center"/>
          </w:tcPr>
          <w:p>
            <w:pPr>
              <w:widowControl/>
              <w:ind w:firstLine="0" w:firstLineChars="0"/>
              <w:jc w:val="center"/>
              <w:rPr>
                <w:rFonts w:ascii="黑体" w:hAnsi="黑体" w:eastAsia="黑体" w:cs="黑体"/>
                <w:bCs/>
                <w:color w:val="000000"/>
                <w:kern w:val="0"/>
                <w:szCs w:val="24"/>
              </w:rPr>
            </w:pPr>
            <w:r>
              <w:rPr>
                <w:rFonts w:hint="eastAsia" w:ascii="黑体" w:hAnsi="黑体" w:eastAsia="黑体" w:cs="黑体"/>
                <w:bCs/>
                <w:color w:val="FF0000"/>
                <w:szCs w:val="24"/>
              </w:rPr>
              <w:drawing>
                <wp:inline distT="0" distB="0" distL="0" distR="0">
                  <wp:extent cx="2701925" cy="1924050"/>
                  <wp:effectExtent l="0" t="0" r="3175"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noChangeArrowheads="1"/>
                          </pic:cNvPicPr>
                        </pic:nvPicPr>
                        <pic:blipFill>
                          <a:blip r:embed="rId15">
                            <a:extLst>
                              <a:ext uri="{28A0092B-C50C-407E-A947-70E740481C1C}">
                                <a14:useLocalDpi xmlns:a14="http://schemas.microsoft.com/office/drawing/2010/main" val="0"/>
                              </a:ext>
                            </a:extLst>
                          </a:blip>
                          <a:srcRect l="2638" t="76434" r="50659" b="3999"/>
                          <a:stretch>
                            <a:fillRect/>
                          </a:stretch>
                        </pic:blipFill>
                        <pic:spPr>
                          <a:xfrm>
                            <a:off x="0" y="0"/>
                            <a:ext cx="2701925" cy="1924050"/>
                          </a:xfrm>
                          <a:prstGeom prst="rect">
                            <a:avLst/>
                          </a:prstGeom>
                          <a:noFill/>
                          <a:ln>
                            <a:noFill/>
                          </a:ln>
                        </pic:spPr>
                      </pic:pic>
                    </a:graphicData>
                  </a:graphic>
                </wp:inline>
              </w:drawing>
            </w:r>
          </w:p>
        </w:tc>
        <w:tc>
          <w:tcPr>
            <w:tcW w:w="4643" w:type="dxa"/>
            <w:tcBorders>
              <w:tl2br w:val="nil"/>
              <w:tr2bl w:val="nil"/>
            </w:tcBorders>
            <w:shd w:val="clear" w:color="auto" w:fill="auto"/>
            <w:noWrap/>
            <w:vAlign w:val="center"/>
          </w:tcPr>
          <w:p>
            <w:pPr>
              <w:widowControl/>
              <w:ind w:firstLine="0" w:firstLineChars="0"/>
              <w:jc w:val="center"/>
              <w:rPr>
                <w:rFonts w:ascii="黑体" w:hAnsi="黑体" w:eastAsia="黑体" w:cs="黑体"/>
                <w:bCs/>
                <w:color w:val="000000"/>
                <w:kern w:val="0"/>
                <w:szCs w:val="24"/>
              </w:rPr>
            </w:pPr>
            <w:r>
              <w:rPr>
                <w:rFonts w:hint="eastAsia" w:ascii="黑体" w:hAnsi="黑体" w:eastAsia="黑体" w:cs="黑体"/>
                <w:bCs/>
                <w:color w:val="FF0000"/>
                <w:szCs w:val="24"/>
              </w:rPr>
              <w:drawing>
                <wp:inline distT="0" distB="0" distL="0" distR="0">
                  <wp:extent cx="2713355" cy="1959610"/>
                  <wp:effectExtent l="0" t="0" r="0" b="254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15">
                            <a:extLst>
                              <a:ext uri="{28A0092B-C50C-407E-A947-70E740481C1C}">
                                <a14:useLocalDpi xmlns:a14="http://schemas.microsoft.com/office/drawing/2010/main" val="0"/>
                              </a:ext>
                            </a:extLst>
                          </a:blip>
                          <a:srcRect l="51198" t="55363" r="7672" b="27380"/>
                          <a:stretch>
                            <a:fillRect/>
                          </a:stretch>
                        </pic:blipFill>
                        <pic:spPr>
                          <a:xfrm>
                            <a:off x="0" y="0"/>
                            <a:ext cx="2713355" cy="1959610"/>
                          </a:xfrm>
                          <a:prstGeom prst="rect">
                            <a:avLst/>
                          </a:prstGeom>
                          <a:noFill/>
                          <a:ln>
                            <a:noFill/>
                          </a:ln>
                        </pic:spPr>
                      </pic:pic>
                    </a:graphicData>
                  </a:graphic>
                </wp:inline>
              </w:drawing>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643" w:type="dxa"/>
            <w:tcBorders>
              <w:tl2br w:val="nil"/>
              <w:tr2bl w:val="nil"/>
            </w:tcBorders>
            <w:shd w:val="clear" w:color="auto" w:fill="auto"/>
            <w:noWrap/>
            <w:vAlign w:val="center"/>
          </w:tcPr>
          <w:p>
            <w:pPr>
              <w:widowControl/>
              <w:ind w:firstLine="0" w:firstLineChars="0"/>
              <w:jc w:val="center"/>
              <w:rPr>
                <w:rFonts w:ascii="黑体" w:hAnsi="黑体" w:eastAsia="黑体" w:cs="黑体"/>
                <w:bCs/>
                <w:color w:val="000000"/>
                <w:kern w:val="0"/>
                <w:szCs w:val="24"/>
              </w:rPr>
            </w:pPr>
            <w:r>
              <w:rPr>
                <w:rFonts w:hint="eastAsia" w:ascii="黑体" w:hAnsi="黑体" w:eastAsia="黑体" w:cs="黑体"/>
                <w:bCs/>
                <w:color w:val="000000"/>
                <w:kern w:val="0"/>
                <w:szCs w:val="24"/>
              </w:rPr>
              <w:t>钢卷尺</w:t>
            </w:r>
          </w:p>
        </w:tc>
        <w:tc>
          <w:tcPr>
            <w:tcW w:w="4643" w:type="dxa"/>
            <w:tcBorders>
              <w:tl2br w:val="nil"/>
              <w:tr2bl w:val="nil"/>
            </w:tcBorders>
            <w:shd w:val="clear" w:color="auto" w:fill="auto"/>
            <w:noWrap/>
            <w:vAlign w:val="center"/>
          </w:tcPr>
          <w:p>
            <w:pPr>
              <w:widowControl/>
              <w:ind w:firstLine="0" w:firstLineChars="0"/>
              <w:jc w:val="center"/>
              <w:rPr>
                <w:rFonts w:ascii="黑体" w:hAnsi="黑体" w:eastAsia="黑体" w:cs="黑体"/>
                <w:bCs/>
                <w:color w:val="000000"/>
                <w:kern w:val="0"/>
                <w:szCs w:val="24"/>
              </w:rPr>
            </w:pPr>
            <w:r>
              <w:rPr>
                <w:rStyle w:val="30"/>
                <w:rFonts w:hint="eastAsia" w:ascii="黑体" w:hAnsi="黑体" w:eastAsia="黑体" w:cs="黑体"/>
                <w:b w:val="0"/>
                <w:bCs/>
                <w:szCs w:val="24"/>
              </w:rPr>
              <w:t>皮尺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643" w:type="dxa"/>
            <w:tcBorders>
              <w:tl2br w:val="nil"/>
              <w:tr2bl w:val="nil"/>
            </w:tcBorders>
            <w:shd w:val="clear" w:color="auto" w:fill="auto"/>
            <w:noWrap/>
            <w:vAlign w:val="center"/>
          </w:tcPr>
          <w:p>
            <w:pPr>
              <w:widowControl/>
              <w:ind w:firstLine="0" w:firstLineChars="0"/>
              <w:jc w:val="center"/>
              <w:rPr>
                <w:rFonts w:ascii="黑体" w:hAnsi="黑体" w:eastAsia="黑体" w:cs="黑体"/>
                <w:color w:val="000000"/>
                <w:kern w:val="0"/>
                <w:szCs w:val="24"/>
              </w:rPr>
            </w:pPr>
            <w:r>
              <w:rPr>
                <w:rFonts w:hint="eastAsia" w:ascii="黑体" w:hAnsi="黑体" w:eastAsia="黑体" w:cs="黑体"/>
                <w:color w:val="FF0000"/>
                <w:szCs w:val="24"/>
              </w:rPr>
              <w:drawing>
                <wp:inline distT="0" distB="0" distL="0" distR="0">
                  <wp:extent cx="2731135" cy="1959610"/>
                  <wp:effectExtent l="0" t="0" r="0" b="254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15">
                            <a:extLst>
                              <a:ext uri="{28A0092B-C50C-407E-A947-70E740481C1C}">
                                <a14:useLocalDpi xmlns:a14="http://schemas.microsoft.com/office/drawing/2010/main" val="0"/>
                              </a:ext>
                            </a:extLst>
                          </a:blip>
                          <a:srcRect l="2679" t="56133" r="57915" b="27380"/>
                          <a:stretch>
                            <a:fillRect/>
                          </a:stretch>
                        </pic:blipFill>
                        <pic:spPr>
                          <a:xfrm>
                            <a:off x="0" y="0"/>
                            <a:ext cx="2731135" cy="1959610"/>
                          </a:xfrm>
                          <a:prstGeom prst="rect">
                            <a:avLst/>
                          </a:prstGeom>
                          <a:noFill/>
                          <a:ln>
                            <a:noFill/>
                          </a:ln>
                        </pic:spPr>
                      </pic:pic>
                    </a:graphicData>
                  </a:graphic>
                </wp:inline>
              </w:drawing>
            </w:r>
          </w:p>
        </w:tc>
        <w:tc>
          <w:tcPr>
            <w:tcW w:w="4643" w:type="dxa"/>
            <w:tcBorders>
              <w:tl2br w:val="nil"/>
              <w:tr2bl w:val="nil"/>
            </w:tcBorders>
            <w:shd w:val="clear" w:color="auto" w:fill="auto"/>
            <w:noWrap/>
            <w:vAlign w:val="center"/>
          </w:tcPr>
          <w:p>
            <w:pPr>
              <w:widowControl/>
              <w:ind w:firstLine="0" w:firstLineChars="0"/>
              <w:jc w:val="center"/>
              <w:rPr>
                <w:rFonts w:ascii="黑体" w:hAnsi="黑体" w:eastAsia="黑体" w:cs="黑体"/>
                <w:color w:val="000000"/>
                <w:kern w:val="0"/>
                <w:szCs w:val="24"/>
              </w:rPr>
            </w:pPr>
            <w:r>
              <w:rPr>
                <w:rFonts w:hint="eastAsia" w:ascii="黑体" w:hAnsi="黑体" w:eastAsia="黑体" w:cs="黑体"/>
                <w:color w:val="FF0000"/>
                <w:szCs w:val="24"/>
              </w:rPr>
              <w:drawing>
                <wp:inline distT="0" distB="0" distL="0" distR="0">
                  <wp:extent cx="2689860" cy="1983105"/>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noChangeArrowheads="1"/>
                          </pic:cNvPicPr>
                        </pic:nvPicPr>
                        <pic:blipFill>
                          <a:blip r:embed="rId15">
                            <a:extLst>
                              <a:ext uri="{28A0092B-C50C-407E-A947-70E740481C1C}">
                                <a14:useLocalDpi xmlns:a14="http://schemas.microsoft.com/office/drawing/2010/main" val="0"/>
                              </a:ext>
                            </a:extLst>
                          </a:blip>
                          <a:srcRect l="51187" t="76585" r="8971" b="3806"/>
                          <a:stretch>
                            <a:fillRect/>
                          </a:stretch>
                        </pic:blipFill>
                        <pic:spPr>
                          <a:xfrm>
                            <a:off x="0" y="0"/>
                            <a:ext cx="2689860" cy="1983105"/>
                          </a:xfrm>
                          <a:prstGeom prst="rect">
                            <a:avLst/>
                          </a:prstGeom>
                          <a:noFill/>
                          <a:ln>
                            <a:noFill/>
                          </a:ln>
                        </pic:spPr>
                      </pic:pic>
                    </a:graphicData>
                  </a:graphic>
                </wp:inline>
              </w:drawing>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643" w:type="dxa"/>
            <w:tcBorders>
              <w:tl2br w:val="nil"/>
              <w:tr2bl w:val="nil"/>
            </w:tcBorders>
            <w:shd w:val="clear" w:color="auto" w:fill="auto"/>
            <w:noWrap/>
            <w:vAlign w:val="center"/>
          </w:tcPr>
          <w:p>
            <w:pPr>
              <w:widowControl/>
              <w:ind w:firstLine="0" w:firstLineChars="0"/>
              <w:jc w:val="center"/>
              <w:rPr>
                <w:rStyle w:val="30"/>
                <w:rFonts w:ascii="黑体" w:hAnsi="黑体" w:eastAsia="黑体" w:cs="黑体"/>
                <w:b w:val="0"/>
                <w:bCs/>
                <w:szCs w:val="24"/>
              </w:rPr>
            </w:pPr>
            <w:r>
              <w:rPr>
                <w:rStyle w:val="30"/>
                <w:rFonts w:hint="eastAsia" w:ascii="黑体" w:hAnsi="黑体" w:eastAsia="黑体" w:cs="黑体"/>
                <w:b w:val="0"/>
                <w:bCs/>
                <w:szCs w:val="24"/>
              </w:rPr>
              <w:t>土壤水分速测仪</w:t>
            </w:r>
          </w:p>
        </w:tc>
        <w:tc>
          <w:tcPr>
            <w:tcW w:w="4643" w:type="dxa"/>
            <w:tcBorders>
              <w:tl2br w:val="nil"/>
              <w:tr2bl w:val="nil"/>
            </w:tcBorders>
            <w:shd w:val="clear" w:color="auto" w:fill="auto"/>
            <w:noWrap/>
            <w:vAlign w:val="center"/>
          </w:tcPr>
          <w:p>
            <w:pPr>
              <w:widowControl/>
              <w:ind w:firstLine="0" w:firstLineChars="0"/>
              <w:jc w:val="center"/>
              <w:rPr>
                <w:rStyle w:val="30"/>
                <w:rFonts w:ascii="黑体" w:hAnsi="黑体" w:eastAsia="黑体" w:cs="黑体"/>
                <w:b w:val="0"/>
                <w:bCs/>
                <w:szCs w:val="24"/>
              </w:rPr>
            </w:pPr>
            <w:r>
              <w:rPr>
                <w:rStyle w:val="30"/>
                <w:rFonts w:hint="eastAsia" w:ascii="黑体" w:hAnsi="黑体" w:eastAsia="黑体" w:cs="黑体"/>
                <w:b w:val="0"/>
                <w:bCs/>
                <w:szCs w:val="24"/>
              </w:rPr>
              <w:t>折叠铲</w:t>
            </w:r>
          </w:p>
        </w:tc>
      </w:tr>
    </w:tbl>
    <w:p>
      <w:pPr>
        <w:pStyle w:val="6"/>
        <w:spacing w:before="156" w:after="156"/>
        <w:rPr>
          <w:rFonts w:cs="Times New Roman"/>
        </w:rPr>
      </w:pPr>
      <w:r>
        <w:rPr>
          <w:rFonts w:cs="Times New Roman"/>
        </w:rPr>
        <w:t>图1.3-1  主要监测设备</w:t>
      </w:r>
    </w:p>
    <w:p>
      <w:pPr>
        <w:pStyle w:val="4"/>
        <w:rPr>
          <w:rFonts w:cs="Times New Roman"/>
        </w:rPr>
      </w:pPr>
      <w:r>
        <w:rPr>
          <w:rFonts w:cs="Times New Roman"/>
        </w:rPr>
        <w:t>监测技术方法</w:t>
      </w:r>
    </w:p>
    <w:p>
      <w:pPr>
        <w:ind w:firstLine="480"/>
        <w:rPr>
          <w:rFonts w:cs="Times New Roman"/>
        </w:rPr>
      </w:pPr>
      <w:r>
        <w:rPr>
          <w:rFonts w:hint="eastAsia" w:cs="Times New Roman"/>
        </w:rPr>
        <w:t>针对不同水土保持监测分区，以各项监测指标为主线，制定不同的监测方法。水土保持监测的基本方法包括地面观测、调查监测和遥感监测。根据监测任务要求及《水土保持监测技术规程》(SL277-2002)的规定，本监测工作采用地面观测与调查监测相结合的方法进行。</w:t>
      </w:r>
    </w:p>
    <w:p>
      <w:pPr>
        <w:ind w:firstLine="480"/>
        <w:rPr>
          <w:rFonts w:cs="Times New Roman"/>
        </w:rPr>
      </w:pPr>
      <w:r>
        <w:rPr>
          <w:rFonts w:hint="eastAsia" w:cs="Times New Roman"/>
        </w:rPr>
        <w:t>（1）地面观测</w:t>
      </w:r>
    </w:p>
    <w:p>
      <w:pPr>
        <w:ind w:firstLine="480"/>
        <w:rPr>
          <w:rFonts w:cs="Times New Roman"/>
        </w:rPr>
      </w:pPr>
      <w:r>
        <w:rPr>
          <w:rFonts w:hint="eastAsia" w:cs="Times New Roman"/>
        </w:rPr>
        <w:t>对于林草措施成活率、保存率等监测内容，采用抽样调查的方式确定调查样地，作为固定监测点；对水土流失情况、水土流失量及变化情况等监测内容，布设适宜的地面观测设施进行土壤侵蚀观测，作为固定监测点。</w:t>
      </w:r>
    </w:p>
    <w:p>
      <w:pPr>
        <w:ind w:firstLine="480"/>
        <w:rPr>
          <w:rFonts w:cs="Times New Roman"/>
        </w:rPr>
      </w:pPr>
      <w:r>
        <w:rPr>
          <w:rFonts w:hint="eastAsia" w:cs="Times New Roman"/>
        </w:rPr>
        <w:t>本工程采取的主要监测方法为测钎观测场：</w:t>
      </w:r>
    </w:p>
    <w:p>
      <w:pPr>
        <w:ind w:firstLine="480"/>
        <w:rPr>
          <w:rFonts w:cs="Times New Roman"/>
        </w:rPr>
      </w:pPr>
      <w:r>
        <w:rPr>
          <w:rFonts w:hint="eastAsia" w:cs="Times New Roman"/>
        </w:rPr>
        <w:t>测点选址位于</w:t>
      </w:r>
      <w:r>
        <w:rPr>
          <w:rFonts w:hint="eastAsia" w:cs="Times New Roman"/>
          <w:lang w:eastAsia="zh-CN"/>
        </w:rPr>
        <w:t>绿化防治区</w:t>
      </w:r>
      <w:r>
        <w:rPr>
          <w:rFonts w:hint="eastAsia" w:cs="Times New Roman"/>
        </w:rPr>
        <w:t>。在汛期前将直径0.5~</w:t>
      </w:r>
      <w:r>
        <w:rPr>
          <w:rFonts w:hint="eastAsia" w:cs="Times New Roman"/>
          <w:lang w:val="en-US" w:eastAsia="zh-CN"/>
        </w:rPr>
        <w:t>1</w:t>
      </w:r>
      <w:r>
        <w:rPr>
          <w:rFonts w:hint="eastAsia" w:cs="Times New Roman"/>
        </w:rPr>
        <w:t>cm、长50~100cm、类似钉子形状的钢钎或直径3~4cm、长40~50cm竹、木钎(竹、木钎应通过油漆防腐处理)，根据坡面面积，按一定距离(间距1m左右)分上中下、左中右纵横各3排、共9根布设。观测桩应沿铅垂方向打入，在桩与坡面齐平处涂上红漆，编号登记入册。另在每组观测桩附近做上明显记号，以便观测。每次大暴雨之后和汛期终了，通过观测桩顶距地面高差，计算出土壤侵蚀的土层流失深度和土壤侵蚀量(计算公式采用：《水土保持监测技术规程》(SL277-2002)，7.3.3)。</w:t>
      </w:r>
    </w:p>
    <w:p>
      <w:pPr>
        <w:ind w:firstLine="480"/>
        <w:rPr>
          <w:rFonts w:cs="Times New Roman"/>
        </w:rPr>
      </w:pPr>
      <w:r>
        <w:rPr>
          <w:rFonts w:hint="eastAsia" w:cs="Times New Roman"/>
        </w:rPr>
        <w:t>（2）调查监测</w:t>
      </w:r>
    </w:p>
    <w:p>
      <w:pPr>
        <w:ind w:firstLine="480"/>
        <w:rPr>
          <w:rFonts w:cs="Times New Roman"/>
        </w:rPr>
      </w:pPr>
      <w:r>
        <w:rPr>
          <w:rFonts w:hint="eastAsia" w:cs="Times New Roman"/>
        </w:rPr>
        <w:t>对于水土流失防治责任范围、扰动地表情况、地形地貌、地表组成物质、植被、工程（临时）措施实施情况及效果、植物措施实施情况、水土流失灾害隐患、水土流失危害等监测内容，应采用普查的方式进行监测，具体涉及到的面积、尺寸、体积、坡度、坡长等数据，尚需收集工程资料进行统计整理，并借助测量仪器进行现场复核。</w:t>
      </w:r>
    </w:p>
    <w:p>
      <w:pPr>
        <w:ind w:firstLine="480"/>
        <w:rPr>
          <w:rFonts w:cs="Times New Roman"/>
        </w:rPr>
      </w:pPr>
      <w:r>
        <w:rPr>
          <w:rFonts w:hint="eastAsia" w:cs="Times New Roman"/>
        </w:rPr>
        <w:t>普查是对整个水土流失防治责任范围的全面详查，也可称为现场巡查。在巡查时应使路线贯穿各分区典型扰动面，统计时按区域统计。</w:t>
      </w:r>
    </w:p>
    <w:p>
      <w:pPr>
        <w:ind w:firstLine="480"/>
        <w:rPr>
          <w:rFonts w:cs="Times New Roman"/>
        </w:rPr>
      </w:pPr>
      <w:r>
        <w:rPr>
          <w:rFonts w:hint="eastAsia" w:cs="Times New Roman"/>
        </w:rPr>
        <w:t>堆填体体积测量应收集到堆渣前大比例尺地形图，作为计算堆填量的基础资料。在现场需对堆填高度进行测量，对堆填高度不是很高的用皮尺量测斜坡顺坡向长和坡度经计算得出，堆填高度过高的可分别测量顶部和脚部高程计算得出，高程可借助于全站仪进行测量。堆填范围可在现场寻找参照物或用GPS定位，在大比例尺地形图上定界，也可采用全站仪测量。有了这些基础资料和数据后即可计算堆填体积。对于堆填体形状不规则的，测量特征点坐标对体积进行估算。</w:t>
      </w:r>
    </w:p>
    <w:p>
      <w:pPr>
        <w:ind w:firstLine="480"/>
        <w:rPr>
          <w:rFonts w:cs="Times New Roman"/>
        </w:rPr>
      </w:pPr>
      <w:r>
        <w:rPr>
          <w:rFonts w:hint="eastAsia" w:cs="Times New Roman"/>
        </w:rPr>
        <w:t>植物样地设置分为固定样地和临时样地。样地可设置为正方形或长方形，草地1~4m</w:t>
      </w:r>
      <w:r>
        <w:rPr>
          <w:rFonts w:hint="eastAsia" w:cs="Times New Roman"/>
          <w:vertAlign w:val="superscript"/>
        </w:rPr>
        <w:t>2</w:t>
      </w:r>
      <w:r>
        <w:rPr>
          <w:rFonts w:hint="eastAsia" w:cs="Times New Roman"/>
        </w:rPr>
        <w:t>，灌木林25~100m</w:t>
      </w:r>
      <w:r>
        <w:rPr>
          <w:rFonts w:hint="eastAsia" w:cs="Times New Roman"/>
          <w:vertAlign w:val="superscript"/>
        </w:rPr>
        <w:t>2</w:t>
      </w:r>
      <w:r>
        <w:rPr>
          <w:rFonts w:hint="eastAsia" w:cs="Times New Roman"/>
        </w:rPr>
        <w:t>。样地调查内容按《水土保持监测技术规程》(SL277-2002)附录L规定执行。总体特征值估计、数据处理和资料整汇编按《水土保持监测技术规程》(SL277-2002)6.5执行。</w:t>
      </w:r>
    </w:p>
    <w:p>
      <w:pPr>
        <w:ind w:firstLine="480"/>
        <w:rPr>
          <w:rFonts w:cs="Times New Roman"/>
        </w:rPr>
      </w:pPr>
      <w:r>
        <w:rPr>
          <w:rFonts w:hint="eastAsia" w:cs="Times New Roman"/>
        </w:rPr>
        <w:t>对水保措施普查，着重查看现场是否有按水保报告书确定的水保措施实施进度应实施工程措施而未实施的，实施的工程措施是否有被冲毁、破坏等情况；植物措施是否存在具有实施条件而未采取措施的，并对由于未采取水保措施而产生的水土流失现象进行重点观测；普查时还应关注施工过程中是否采取临时性水保措施，进行文字与图片记录。工程建设结束后应普查工程措施、植物措施的实施面积和永久建筑物占地，计算水土流失治理度、土壤流失控制比、渣土防护率、表土保护率、林草植被恢复率、林草覆盖率等防治效益指标。</w:t>
      </w:r>
    </w:p>
    <w:p>
      <w:pPr>
        <w:pStyle w:val="4"/>
        <w:rPr>
          <w:rFonts w:cs="Times New Roman"/>
        </w:rPr>
      </w:pPr>
      <w:r>
        <w:rPr>
          <w:rFonts w:cs="Times New Roman"/>
        </w:rPr>
        <w:t>监测成果提交情况</w:t>
      </w:r>
    </w:p>
    <w:p>
      <w:pPr>
        <w:ind w:firstLine="480"/>
        <w:rPr>
          <w:rFonts w:cs="Times New Roman"/>
        </w:rPr>
      </w:pPr>
      <w:r>
        <w:rPr>
          <w:rFonts w:cs="Times New Roman"/>
        </w:rPr>
        <w:t>20</w:t>
      </w:r>
      <w:r>
        <w:rPr>
          <w:rFonts w:hint="eastAsia" w:cs="Times New Roman"/>
        </w:rPr>
        <w:t>20</w:t>
      </w:r>
      <w:r>
        <w:rPr>
          <w:rFonts w:cs="Times New Roman"/>
        </w:rPr>
        <w:t>年</w:t>
      </w:r>
      <w:r>
        <w:rPr>
          <w:rFonts w:hint="eastAsia" w:cs="Times New Roman"/>
          <w:lang w:val="en-US" w:eastAsia="zh-CN"/>
        </w:rPr>
        <w:t>6</w:t>
      </w:r>
      <w:r>
        <w:rPr>
          <w:rFonts w:cs="Times New Roman"/>
        </w:rPr>
        <w:t>月我公司接到建设单位委托后，及时开展监测工作，并深入现场对水土保持措施实施和运行情况进行全面监测。通过查阅施工、监理资料和现场监测结果等进行分析，并于20</w:t>
      </w:r>
      <w:r>
        <w:rPr>
          <w:rFonts w:hint="eastAsia" w:cs="Times New Roman"/>
        </w:rPr>
        <w:t>20</w:t>
      </w:r>
      <w:r>
        <w:rPr>
          <w:rFonts w:cs="Times New Roman"/>
        </w:rPr>
        <w:t>年</w:t>
      </w:r>
      <w:r>
        <w:rPr>
          <w:rFonts w:hint="eastAsia" w:cs="Times New Roman"/>
          <w:lang w:val="en-US" w:eastAsia="zh-CN"/>
        </w:rPr>
        <w:t>7</w:t>
      </w:r>
      <w:r>
        <w:rPr>
          <w:rFonts w:cs="Times New Roman"/>
        </w:rPr>
        <w:t>月编制完成《</w:t>
      </w:r>
      <w:r>
        <w:rPr>
          <w:rFonts w:hint="eastAsia" w:cs="Times New Roman"/>
          <w:lang w:eastAsia="zh-CN"/>
        </w:rPr>
        <w:t>上海千缘汽车车身模具有限公司关于汽车零部件制造的项目</w:t>
      </w:r>
      <w:r>
        <w:rPr>
          <w:rFonts w:hint="eastAsia" w:cs="Times New Roman"/>
        </w:rPr>
        <w:t>项目</w:t>
      </w:r>
      <w:r>
        <w:rPr>
          <w:rFonts w:cs="Times New Roman"/>
        </w:rPr>
        <w:t>水土保持</w:t>
      </w:r>
      <w:r>
        <w:rPr>
          <w:rFonts w:hint="eastAsia" w:cs="Times New Roman"/>
        </w:rPr>
        <w:t>监测</w:t>
      </w:r>
      <w:r>
        <w:rPr>
          <w:rFonts w:cs="Times New Roman"/>
        </w:rPr>
        <w:t>总结报告》。</w:t>
      </w:r>
    </w:p>
    <w:p>
      <w:pPr>
        <w:ind w:firstLine="480"/>
        <w:rPr>
          <w:rFonts w:cs="Times New Roman"/>
        </w:rPr>
      </w:pPr>
      <w:r>
        <w:rPr>
          <w:rFonts w:cs="Times New Roman"/>
        </w:rPr>
        <w:br w:type="page"/>
      </w:r>
    </w:p>
    <w:p>
      <w:pPr>
        <w:pStyle w:val="2"/>
        <w:rPr>
          <w:rFonts w:cs="Times New Roman"/>
        </w:rPr>
      </w:pPr>
      <w:bookmarkStart w:id="14" w:name="_Toc5825899"/>
      <w:bookmarkStart w:id="15" w:name="_Toc2534356"/>
      <w:bookmarkStart w:id="16" w:name="_Toc28440"/>
      <w:r>
        <w:rPr>
          <w:rFonts w:cs="Times New Roman"/>
        </w:rPr>
        <w:t>监测内容与方法</w:t>
      </w:r>
      <w:bookmarkEnd w:id="14"/>
      <w:bookmarkEnd w:id="15"/>
      <w:bookmarkEnd w:id="16"/>
    </w:p>
    <w:p>
      <w:pPr>
        <w:ind w:firstLine="480"/>
        <w:rPr>
          <w:rFonts w:cs="Times New Roman"/>
        </w:rPr>
      </w:pPr>
      <w:r>
        <w:rPr>
          <w:rFonts w:cs="Times New Roman"/>
        </w:rPr>
        <w:t>按照水保方案报告书的要求，结合水利部文件“水保[2009]187号”文、“</w:t>
      </w:r>
      <w:r>
        <w:rPr>
          <w:rFonts w:hint="eastAsia" w:cs="Times New Roman"/>
        </w:rPr>
        <w:t>川</w:t>
      </w:r>
      <w:r>
        <w:rPr>
          <w:rFonts w:cs="Times New Roman"/>
        </w:rPr>
        <w:t>水函[201</w:t>
      </w:r>
      <w:r>
        <w:rPr>
          <w:rFonts w:hint="eastAsia" w:cs="Times New Roman"/>
        </w:rPr>
        <w:t>8</w:t>
      </w:r>
      <w:r>
        <w:rPr>
          <w:rFonts w:cs="Times New Roman"/>
        </w:rPr>
        <w:t>]</w:t>
      </w:r>
      <w:r>
        <w:rPr>
          <w:rFonts w:hint="eastAsia" w:cs="Times New Roman"/>
        </w:rPr>
        <w:t>887</w:t>
      </w:r>
      <w:r>
        <w:rPr>
          <w:rFonts w:cs="Times New Roman"/>
        </w:rPr>
        <w:t>号”和“办水保[2015]139号”文中监测内容、重点以及相关规定对项目进行监测。</w:t>
      </w:r>
    </w:p>
    <w:p>
      <w:pPr>
        <w:ind w:firstLine="480"/>
        <w:rPr>
          <w:rFonts w:cs="Times New Roman"/>
        </w:rPr>
      </w:pPr>
      <w:r>
        <w:rPr>
          <w:rFonts w:cs="Times New Roman"/>
        </w:rPr>
        <w:t>结合工程建设和工程水土流失特点，对水土流失影响因子及主要流失部位的水土流失状况、水土保持措施及防治效果进行监测，分析主要因子对水土流失的影响，分析监测部位水土流失量随时间的变化情况。监测内容主要包括扰动面积、水土流失因子、水土流失变化情况、水土流失危害、水土保持设施建设情况及水土流失防治效果等几大类。</w:t>
      </w:r>
    </w:p>
    <w:p>
      <w:pPr>
        <w:ind w:firstLine="480"/>
        <w:rPr>
          <w:rFonts w:cs="Times New Roman"/>
        </w:rPr>
      </w:pPr>
      <w:r>
        <w:rPr>
          <w:rFonts w:cs="Times New Roman"/>
        </w:rPr>
        <w:t>1、水土流失防治责任范围、扰动面积监测</w:t>
      </w:r>
    </w:p>
    <w:p>
      <w:pPr>
        <w:ind w:firstLine="480"/>
        <w:rPr>
          <w:rFonts w:cs="Times New Roman"/>
        </w:rPr>
      </w:pPr>
      <w:r>
        <w:rPr>
          <w:rFonts w:cs="Times New Roman"/>
        </w:rPr>
        <w:t>建设项目的防治责任范围为项目建设区。项目建设区分为永久征占地和临时占地，永久征占地面积在项目建设前已经确定，施工阶段及项目运行阶段保持不变，</w:t>
      </w:r>
      <w:r>
        <w:rPr>
          <w:rFonts w:hint="eastAsia" w:cs="Times New Roman"/>
        </w:rPr>
        <w:t>临时施工场地位于项目区永久占地外，属于新增占地</w:t>
      </w:r>
      <w:r>
        <w:rPr>
          <w:rFonts w:cs="Times New Roman"/>
        </w:rPr>
        <w:t>，</w:t>
      </w:r>
      <w:r>
        <w:rPr>
          <w:rFonts w:hint="eastAsia" w:cs="Times New Roman"/>
        </w:rPr>
        <w:t>故本项目</w:t>
      </w:r>
      <w:r>
        <w:rPr>
          <w:rFonts w:cs="Times New Roman"/>
        </w:rPr>
        <w:t>防治责任范围</w:t>
      </w:r>
      <w:r>
        <w:rPr>
          <w:rFonts w:hint="eastAsia" w:cs="Times New Roman"/>
        </w:rPr>
        <w:t>根据卫星影像图确定</w:t>
      </w:r>
      <w:r>
        <w:rPr>
          <w:rFonts w:cs="Times New Roman"/>
        </w:rPr>
        <w:t xml:space="preserve">。 </w:t>
      </w:r>
    </w:p>
    <w:p>
      <w:pPr>
        <w:ind w:firstLine="480"/>
        <w:rPr>
          <w:rFonts w:cs="Times New Roman"/>
        </w:rPr>
      </w:pPr>
      <w:r>
        <w:rPr>
          <w:rFonts w:cs="Times New Roman"/>
        </w:rPr>
        <w:t>2、水土流失因子监测</w:t>
      </w:r>
    </w:p>
    <w:p>
      <w:pPr>
        <w:ind w:firstLine="480"/>
        <w:rPr>
          <w:rFonts w:cs="Times New Roman"/>
        </w:rPr>
      </w:pPr>
      <w:r>
        <w:rPr>
          <w:rFonts w:cs="Times New Roman"/>
        </w:rPr>
        <w:t>主要是对监测范围内的地形地貌、地质土壤、地面组成物质、植被、气象（降水、风速、蒸发量、气温）、水土流失状况及水土流失侵蚀模数（背景值）等因子进行监测。</w:t>
      </w:r>
    </w:p>
    <w:p>
      <w:pPr>
        <w:ind w:firstLine="480"/>
        <w:rPr>
          <w:rFonts w:cs="Times New Roman"/>
        </w:rPr>
      </w:pPr>
      <w:r>
        <w:rPr>
          <w:rFonts w:cs="Times New Roman"/>
        </w:rPr>
        <w:t>3、水土流失动态变化监测</w:t>
      </w:r>
    </w:p>
    <w:p>
      <w:pPr>
        <w:ind w:firstLine="480"/>
        <w:rPr>
          <w:rFonts w:cs="Times New Roman"/>
        </w:rPr>
      </w:pPr>
      <w:r>
        <w:rPr>
          <w:rFonts w:cs="Times New Roman"/>
        </w:rPr>
        <w:t>主要包括工程建设扰动地表植被面积、占用破坏水土保持设施的数量、动用土石方量及弃土弃渣量、流失面积和流失量、水土流失变化情况（类型、形式、流失量）等。</w:t>
      </w:r>
    </w:p>
    <w:p>
      <w:pPr>
        <w:ind w:firstLine="480"/>
        <w:rPr>
          <w:rFonts w:cs="Times New Roman"/>
        </w:rPr>
      </w:pPr>
      <w:r>
        <w:rPr>
          <w:rFonts w:cs="Times New Roman"/>
        </w:rPr>
        <w:t>4、水土流失危害监测</w:t>
      </w:r>
    </w:p>
    <w:p>
      <w:pPr>
        <w:ind w:firstLine="480"/>
        <w:rPr>
          <w:rFonts w:cs="Times New Roman"/>
        </w:rPr>
      </w:pPr>
      <w:r>
        <w:rPr>
          <w:rFonts w:cs="Times New Roman"/>
        </w:rPr>
        <w:t>包括工程建设过程产生的水土流失及其对下游河道的影响工程建设区植被及生态环境变化；对于局部施工区域因侵蚀性降雨引起的地表径流冲刷造成局部坍塌、淤积等情况，及时进行现场调查，调查发生面积、坍塌（淤积）量和对周边的影响，工程建设对环境的影响等。</w:t>
      </w:r>
    </w:p>
    <w:p>
      <w:pPr>
        <w:ind w:firstLine="480"/>
        <w:rPr>
          <w:rFonts w:cs="Times New Roman"/>
        </w:rPr>
      </w:pPr>
      <w:r>
        <w:rPr>
          <w:rFonts w:cs="Times New Roman"/>
        </w:rPr>
        <w:t>5、水土流失防治效果监测</w:t>
      </w:r>
    </w:p>
    <w:p>
      <w:pPr>
        <w:ind w:firstLine="480"/>
        <w:rPr>
          <w:rFonts w:cs="Times New Roman"/>
        </w:rPr>
      </w:pPr>
      <w:r>
        <w:rPr>
          <w:rFonts w:cs="Times New Roman"/>
        </w:rPr>
        <w:t>主要监测水土保持设施实施包括</w:t>
      </w:r>
      <w:r>
        <w:rPr>
          <w:rFonts w:hint="eastAsia" w:cs="Times New Roman"/>
        </w:rPr>
        <w:t>防洪排导工程</w:t>
      </w:r>
      <w:r>
        <w:rPr>
          <w:rFonts w:cs="Times New Roman"/>
        </w:rPr>
        <w:t>、</w:t>
      </w:r>
      <w:r>
        <w:rPr>
          <w:rFonts w:hint="eastAsia" w:cs="Times New Roman"/>
        </w:rPr>
        <w:t>降水蓄渗</w:t>
      </w:r>
      <w:r>
        <w:rPr>
          <w:rFonts w:cs="Times New Roman"/>
        </w:rPr>
        <w:t>工程、</w:t>
      </w:r>
      <w:r>
        <w:rPr>
          <w:rFonts w:hint="eastAsia" w:cs="Times New Roman"/>
        </w:rPr>
        <w:t>土地整治</w:t>
      </w:r>
      <w:r>
        <w:rPr>
          <w:rFonts w:cs="Times New Roman"/>
        </w:rPr>
        <w:t>工程、植被建设等措施的数量、质量、稳定性、林草的生长发育状况、水土保持效益及防治效果（控制水土流失量、提高</w:t>
      </w:r>
      <w:r>
        <w:rPr>
          <w:rFonts w:hint="eastAsia" w:cs="Times New Roman"/>
        </w:rPr>
        <w:t>渣土防护率</w:t>
      </w:r>
      <w:r>
        <w:rPr>
          <w:rFonts w:cs="Times New Roman"/>
        </w:rPr>
        <w:t>、改善生态环境的作用等）等。</w:t>
      </w:r>
    </w:p>
    <w:p>
      <w:pPr>
        <w:pStyle w:val="3"/>
        <w:rPr>
          <w:rFonts w:ascii="Times New Roman" w:hAnsi="Times New Roman" w:cs="Times New Roman"/>
        </w:rPr>
      </w:pPr>
      <w:bookmarkStart w:id="17" w:name="_Toc1767"/>
      <w:bookmarkStart w:id="18" w:name="_Toc2534357"/>
      <w:bookmarkStart w:id="19" w:name="_Toc5825900"/>
      <w:r>
        <w:rPr>
          <w:rStyle w:val="18"/>
          <w:rFonts w:ascii="Times New Roman" w:hAnsi="Times New Roman" w:cs="Times New Roman"/>
          <w:bCs w:val="0"/>
        </w:rPr>
        <w:t>扰动</w:t>
      </w:r>
      <w:r>
        <w:rPr>
          <w:rFonts w:ascii="Times New Roman" w:hAnsi="Times New Roman" w:cs="Times New Roman"/>
        </w:rPr>
        <w:t>土地情况</w:t>
      </w:r>
      <w:bookmarkEnd w:id="17"/>
      <w:bookmarkEnd w:id="18"/>
      <w:bookmarkEnd w:id="19"/>
    </w:p>
    <w:p>
      <w:pPr>
        <w:ind w:firstLine="480"/>
        <w:rPr>
          <w:rFonts w:cs="Times New Roman"/>
        </w:rPr>
      </w:pPr>
      <w:r>
        <w:rPr>
          <w:rFonts w:cs="Times New Roman"/>
        </w:rPr>
        <w:t>扰动地表面积监测是确定土壤流失量的基础，是项目水土保持监测的中心内容之一。扰动地表面积监测包括扰动类型判断和面积监测。工程实际扰动土地面积随着工程建设的进展不断发生变化，是个动态变化过程，扰动土地面积动态监测就是对项目建设区分为永久征占地和临时占地进行及时监测，了解其变化情况，确定防治责任范围。本工程扰动土地面积为项目实际建设区面积，</w:t>
      </w:r>
      <w:r>
        <w:rPr>
          <w:rFonts w:hint="eastAsia" w:cs="Times New Roman"/>
        </w:rPr>
        <w:t>为</w:t>
      </w:r>
      <w:r>
        <w:rPr>
          <w:rFonts w:hint="eastAsia" w:cs="Times New Roman"/>
          <w:lang w:eastAsia="zh-CN"/>
        </w:rPr>
        <w:t>4.45</w:t>
      </w:r>
      <w:r>
        <w:rPr>
          <w:rFonts w:cs="Times New Roman"/>
        </w:rPr>
        <w:t>hm</w:t>
      </w:r>
      <w:r>
        <w:rPr>
          <w:rFonts w:cs="Times New Roman"/>
          <w:vertAlign w:val="superscript"/>
        </w:rPr>
        <w:t>2</w:t>
      </w:r>
      <w:r>
        <w:rPr>
          <w:rFonts w:cs="Times New Roman"/>
        </w:rPr>
        <w:t>，根据本项目建设特点、水土流失特性和水土保持监测目标，确定扰动土地情况的监测频次与方法。针对项目特点，监测组根据项目实际情况，主要采取调查监测进行监测，具体情况见表2.1-1。</w:t>
      </w:r>
    </w:p>
    <w:p>
      <w:pPr>
        <w:pStyle w:val="24"/>
        <w:rPr>
          <w:rFonts w:cs="Times New Roman"/>
        </w:rPr>
      </w:pPr>
      <w:r>
        <w:rPr>
          <w:rFonts w:cs="Times New Roman"/>
        </w:rPr>
        <w:t>表2.1-1 扰动土地情况监测情况一览表</w:t>
      </w:r>
    </w:p>
    <w:tbl>
      <w:tblPr>
        <w:tblStyle w:val="13"/>
        <w:tblW w:w="9286" w:type="dxa"/>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817"/>
        <w:gridCol w:w="2940"/>
        <w:gridCol w:w="2125"/>
        <w:gridCol w:w="1517"/>
        <w:gridCol w:w="1887"/>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817" w:type="dxa"/>
            <w:shd w:val="clear" w:color="auto" w:fill="auto"/>
            <w:vAlign w:val="center"/>
          </w:tcPr>
          <w:p>
            <w:pPr>
              <w:pStyle w:val="23"/>
              <w:rPr>
                <w:rFonts w:cs="Times New Roman"/>
              </w:rPr>
            </w:pPr>
            <w:r>
              <w:rPr>
                <w:rFonts w:cs="Times New Roman"/>
              </w:rPr>
              <w:t>序号</w:t>
            </w:r>
          </w:p>
        </w:tc>
        <w:tc>
          <w:tcPr>
            <w:tcW w:w="2940" w:type="dxa"/>
            <w:shd w:val="clear" w:color="auto" w:fill="auto"/>
            <w:vAlign w:val="center"/>
          </w:tcPr>
          <w:p>
            <w:pPr>
              <w:pStyle w:val="23"/>
              <w:rPr>
                <w:rFonts w:cs="Times New Roman"/>
              </w:rPr>
            </w:pPr>
            <w:r>
              <w:rPr>
                <w:rFonts w:cs="Times New Roman"/>
              </w:rPr>
              <w:t>监测分区</w:t>
            </w:r>
          </w:p>
        </w:tc>
        <w:tc>
          <w:tcPr>
            <w:tcW w:w="2125" w:type="dxa"/>
            <w:shd w:val="clear" w:color="auto" w:fill="auto"/>
            <w:vAlign w:val="center"/>
          </w:tcPr>
          <w:p>
            <w:pPr>
              <w:pStyle w:val="23"/>
              <w:rPr>
                <w:rFonts w:cs="Times New Roman"/>
              </w:rPr>
            </w:pPr>
            <w:r>
              <w:rPr>
                <w:rFonts w:cs="Times New Roman"/>
              </w:rPr>
              <w:t>监测内容</w:t>
            </w:r>
          </w:p>
        </w:tc>
        <w:tc>
          <w:tcPr>
            <w:tcW w:w="1517" w:type="dxa"/>
            <w:shd w:val="clear" w:color="auto" w:fill="auto"/>
            <w:vAlign w:val="center"/>
          </w:tcPr>
          <w:p>
            <w:pPr>
              <w:pStyle w:val="23"/>
              <w:rPr>
                <w:rFonts w:cs="Times New Roman"/>
              </w:rPr>
            </w:pPr>
            <w:r>
              <w:rPr>
                <w:rFonts w:cs="Times New Roman"/>
              </w:rPr>
              <w:t>监测方法</w:t>
            </w:r>
          </w:p>
        </w:tc>
        <w:tc>
          <w:tcPr>
            <w:tcW w:w="1887" w:type="dxa"/>
            <w:shd w:val="clear" w:color="auto" w:fill="auto"/>
            <w:vAlign w:val="center"/>
          </w:tcPr>
          <w:p>
            <w:pPr>
              <w:pStyle w:val="23"/>
              <w:rPr>
                <w:rFonts w:cs="Times New Roman"/>
              </w:rPr>
            </w:pPr>
            <w:r>
              <w:rPr>
                <w:rFonts w:cs="Times New Roman"/>
              </w:rPr>
              <w:t>监测频次</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817" w:type="dxa"/>
            <w:shd w:val="clear" w:color="auto" w:fill="auto"/>
            <w:vAlign w:val="center"/>
          </w:tcPr>
          <w:p>
            <w:pPr>
              <w:pStyle w:val="23"/>
              <w:rPr>
                <w:rFonts w:cs="Times New Roman"/>
              </w:rPr>
            </w:pPr>
            <w:r>
              <w:rPr>
                <w:rFonts w:cs="Times New Roman"/>
              </w:rPr>
              <w:t>1</w:t>
            </w:r>
          </w:p>
        </w:tc>
        <w:tc>
          <w:tcPr>
            <w:tcW w:w="2940" w:type="dxa"/>
            <w:shd w:val="clear" w:color="auto" w:fill="auto"/>
            <w:vAlign w:val="center"/>
          </w:tcPr>
          <w:p>
            <w:pPr>
              <w:pStyle w:val="23"/>
              <w:rPr>
                <w:rFonts w:hint="eastAsia" w:eastAsia="仿宋" w:cs="Times New Roman"/>
                <w:lang w:eastAsia="zh-CN"/>
              </w:rPr>
            </w:pPr>
            <w:r>
              <w:rPr>
                <w:rFonts w:hint="eastAsia" w:cs="Times New Roman"/>
                <w:lang w:eastAsia="zh-CN"/>
              </w:rPr>
              <w:t>建构筑物防治区</w:t>
            </w:r>
          </w:p>
        </w:tc>
        <w:tc>
          <w:tcPr>
            <w:tcW w:w="2125" w:type="dxa"/>
            <w:vMerge w:val="restart"/>
            <w:shd w:val="clear" w:color="auto" w:fill="auto"/>
            <w:vAlign w:val="center"/>
          </w:tcPr>
          <w:p>
            <w:pPr>
              <w:pStyle w:val="23"/>
              <w:rPr>
                <w:rFonts w:cs="Times New Roman"/>
              </w:rPr>
            </w:pPr>
            <w:r>
              <w:rPr>
                <w:rFonts w:cs="Times New Roman"/>
              </w:rPr>
              <w:t>扰动范围、面积、土地利用、类型等变化情况</w:t>
            </w:r>
          </w:p>
        </w:tc>
        <w:tc>
          <w:tcPr>
            <w:tcW w:w="1517" w:type="dxa"/>
            <w:vMerge w:val="restart"/>
            <w:shd w:val="clear" w:color="auto" w:fill="auto"/>
            <w:vAlign w:val="center"/>
          </w:tcPr>
          <w:p>
            <w:pPr>
              <w:pStyle w:val="23"/>
              <w:rPr>
                <w:rFonts w:cs="Times New Roman"/>
              </w:rPr>
            </w:pPr>
            <w:r>
              <w:rPr>
                <w:rFonts w:cs="Times New Roman"/>
              </w:rPr>
              <w:t>调查巡查监测</w:t>
            </w:r>
          </w:p>
        </w:tc>
        <w:tc>
          <w:tcPr>
            <w:tcW w:w="1887" w:type="dxa"/>
            <w:vMerge w:val="restart"/>
            <w:shd w:val="clear" w:color="auto" w:fill="auto"/>
            <w:vAlign w:val="center"/>
          </w:tcPr>
          <w:p>
            <w:pPr>
              <w:pStyle w:val="23"/>
              <w:rPr>
                <w:rFonts w:cs="Times New Roman"/>
              </w:rPr>
            </w:pPr>
            <w:r>
              <w:rPr>
                <w:rFonts w:cs="Times New Roman"/>
              </w:rPr>
              <w:t>根据实际情况灵活调整监测次数</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817" w:type="dxa"/>
            <w:shd w:val="clear" w:color="auto" w:fill="auto"/>
            <w:vAlign w:val="center"/>
          </w:tcPr>
          <w:p>
            <w:pPr>
              <w:pStyle w:val="23"/>
              <w:rPr>
                <w:rFonts w:cs="Times New Roman"/>
              </w:rPr>
            </w:pPr>
            <w:r>
              <w:rPr>
                <w:rFonts w:cs="Times New Roman"/>
              </w:rPr>
              <w:t>2</w:t>
            </w:r>
          </w:p>
        </w:tc>
        <w:tc>
          <w:tcPr>
            <w:tcW w:w="2940" w:type="dxa"/>
            <w:shd w:val="clear" w:color="auto" w:fill="auto"/>
            <w:vAlign w:val="center"/>
          </w:tcPr>
          <w:p>
            <w:pPr>
              <w:pStyle w:val="23"/>
              <w:rPr>
                <w:rFonts w:hint="eastAsia" w:eastAsia="仿宋" w:cs="Times New Roman"/>
                <w:lang w:eastAsia="zh-CN"/>
              </w:rPr>
            </w:pPr>
            <w:r>
              <w:rPr>
                <w:rFonts w:hint="eastAsia" w:cs="Times New Roman"/>
                <w:lang w:eastAsia="zh-CN"/>
              </w:rPr>
              <w:t>道路及硬化工程防治区</w:t>
            </w:r>
          </w:p>
        </w:tc>
        <w:tc>
          <w:tcPr>
            <w:tcW w:w="2125" w:type="dxa"/>
            <w:vMerge w:val="continue"/>
            <w:vAlign w:val="center"/>
          </w:tcPr>
          <w:p>
            <w:pPr>
              <w:pStyle w:val="23"/>
              <w:rPr>
                <w:rFonts w:cs="Times New Roman"/>
              </w:rPr>
            </w:pPr>
          </w:p>
        </w:tc>
        <w:tc>
          <w:tcPr>
            <w:tcW w:w="1517" w:type="dxa"/>
            <w:vMerge w:val="continue"/>
            <w:vAlign w:val="center"/>
          </w:tcPr>
          <w:p>
            <w:pPr>
              <w:pStyle w:val="23"/>
              <w:rPr>
                <w:rFonts w:cs="Times New Roman"/>
              </w:rPr>
            </w:pPr>
          </w:p>
        </w:tc>
        <w:tc>
          <w:tcPr>
            <w:tcW w:w="1887" w:type="dxa"/>
            <w:vMerge w:val="continue"/>
            <w:vAlign w:val="center"/>
          </w:tcPr>
          <w:p>
            <w:pPr>
              <w:pStyle w:val="23"/>
              <w:rPr>
                <w:rFonts w:cs="Times New Roman"/>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817" w:type="dxa"/>
            <w:shd w:val="clear" w:color="auto" w:fill="auto"/>
            <w:vAlign w:val="center"/>
          </w:tcPr>
          <w:p>
            <w:pPr>
              <w:pStyle w:val="23"/>
              <w:rPr>
                <w:rFonts w:cs="Times New Roman"/>
              </w:rPr>
            </w:pPr>
            <w:r>
              <w:rPr>
                <w:rFonts w:cs="Times New Roman"/>
              </w:rPr>
              <w:t>3</w:t>
            </w:r>
          </w:p>
        </w:tc>
        <w:tc>
          <w:tcPr>
            <w:tcW w:w="2940" w:type="dxa"/>
            <w:shd w:val="clear" w:color="auto" w:fill="auto"/>
            <w:vAlign w:val="center"/>
          </w:tcPr>
          <w:p>
            <w:pPr>
              <w:pStyle w:val="23"/>
              <w:rPr>
                <w:rFonts w:hint="eastAsia" w:eastAsia="仿宋" w:cs="Times New Roman"/>
                <w:lang w:eastAsia="zh-CN"/>
              </w:rPr>
            </w:pPr>
            <w:r>
              <w:rPr>
                <w:rFonts w:hint="eastAsia" w:cs="Times New Roman"/>
                <w:lang w:eastAsia="zh-CN"/>
              </w:rPr>
              <w:t>绿化防治区</w:t>
            </w:r>
          </w:p>
        </w:tc>
        <w:tc>
          <w:tcPr>
            <w:tcW w:w="2125" w:type="dxa"/>
            <w:vMerge w:val="continue"/>
            <w:vAlign w:val="center"/>
          </w:tcPr>
          <w:p>
            <w:pPr>
              <w:pStyle w:val="23"/>
              <w:rPr>
                <w:rFonts w:cs="Times New Roman"/>
              </w:rPr>
            </w:pPr>
          </w:p>
        </w:tc>
        <w:tc>
          <w:tcPr>
            <w:tcW w:w="1517" w:type="dxa"/>
            <w:vMerge w:val="continue"/>
            <w:vAlign w:val="center"/>
          </w:tcPr>
          <w:p>
            <w:pPr>
              <w:pStyle w:val="23"/>
              <w:rPr>
                <w:rFonts w:cs="Times New Roman"/>
              </w:rPr>
            </w:pPr>
          </w:p>
        </w:tc>
        <w:tc>
          <w:tcPr>
            <w:tcW w:w="1887" w:type="dxa"/>
            <w:vMerge w:val="continue"/>
            <w:vAlign w:val="center"/>
          </w:tcPr>
          <w:p>
            <w:pPr>
              <w:pStyle w:val="23"/>
              <w:rPr>
                <w:rFonts w:cs="Times New Roman"/>
              </w:rPr>
            </w:pPr>
          </w:p>
        </w:tc>
      </w:tr>
    </w:tbl>
    <w:p>
      <w:pPr>
        <w:pStyle w:val="3"/>
        <w:rPr>
          <w:rFonts w:ascii="Times New Roman" w:hAnsi="Times New Roman" w:cs="Times New Roman"/>
        </w:rPr>
      </w:pPr>
      <w:bookmarkStart w:id="20" w:name="_Toc5825901"/>
      <w:bookmarkStart w:id="21" w:name="_Toc2534358"/>
      <w:bookmarkStart w:id="22" w:name="_Toc3735"/>
      <w:r>
        <w:rPr>
          <w:rFonts w:ascii="Times New Roman" w:hAnsi="Times New Roman" w:cs="Times New Roman"/>
        </w:rPr>
        <w:t>取料（土、石）、弃渣（土、石、矸石、尾矿等）</w:t>
      </w:r>
      <w:bookmarkEnd w:id="20"/>
      <w:bookmarkEnd w:id="21"/>
      <w:bookmarkEnd w:id="22"/>
    </w:p>
    <w:p>
      <w:pPr>
        <w:ind w:firstLine="480"/>
        <w:rPr>
          <w:rFonts w:cs="Times New Roman"/>
        </w:rPr>
      </w:pPr>
      <w:r>
        <w:rPr>
          <w:rFonts w:cs="Times New Roman"/>
        </w:rPr>
        <w:t>（1）无取料场</w:t>
      </w:r>
      <w:r>
        <w:rPr>
          <w:rFonts w:hint="eastAsia" w:cs="Times New Roman"/>
        </w:rPr>
        <w:t>。</w:t>
      </w:r>
    </w:p>
    <w:p>
      <w:pPr>
        <w:ind w:firstLine="480"/>
        <w:rPr>
          <w:rFonts w:cs="Times New Roman"/>
        </w:rPr>
      </w:pPr>
      <w:r>
        <w:rPr>
          <w:rFonts w:cs="Times New Roman"/>
        </w:rPr>
        <w:t>（2）</w:t>
      </w:r>
      <w:r>
        <w:rPr>
          <w:rFonts w:hint="eastAsia" w:cs="Times New Roman"/>
        </w:rPr>
        <w:t>项目挖填方平衡，不涉及弃渣场。</w:t>
      </w:r>
    </w:p>
    <w:p>
      <w:pPr>
        <w:pStyle w:val="3"/>
        <w:rPr>
          <w:rFonts w:ascii="Times New Roman" w:hAnsi="Times New Roman" w:cs="Times New Roman"/>
        </w:rPr>
      </w:pPr>
      <w:bookmarkStart w:id="23" w:name="_Toc5825902"/>
      <w:bookmarkStart w:id="24" w:name="_Toc12575"/>
      <w:bookmarkStart w:id="25" w:name="_Toc2534359"/>
      <w:r>
        <w:rPr>
          <w:rFonts w:ascii="Times New Roman" w:hAnsi="Times New Roman" w:cs="Times New Roman"/>
        </w:rPr>
        <w:t>水土保持措施</w:t>
      </w:r>
      <w:bookmarkEnd w:id="23"/>
      <w:bookmarkEnd w:id="24"/>
      <w:bookmarkEnd w:id="25"/>
    </w:p>
    <w:p>
      <w:pPr>
        <w:pStyle w:val="4"/>
        <w:rPr>
          <w:rFonts w:cs="Times New Roman"/>
        </w:rPr>
      </w:pPr>
      <w:r>
        <w:rPr>
          <w:rFonts w:cs="Times New Roman"/>
        </w:rPr>
        <w:t>工程措施监测内容及方法</w:t>
      </w:r>
    </w:p>
    <w:p>
      <w:pPr>
        <w:pStyle w:val="32"/>
        <w:ind w:firstLine="480"/>
      </w:pPr>
      <w:r>
        <w:t>本工程设计的水土保持工程措施包括防洪排导工程</w:t>
      </w:r>
      <w:r>
        <w:rPr>
          <w:rFonts w:hint="eastAsia"/>
        </w:rPr>
        <w:t>、</w:t>
      </w:r>
      <w:r>
        <w:t>土地整治工程等。按照工程建设实际情况，建设实施的水土保持工程措施类型有防洪排导工程</w:t>
      </w:r>
      <w:r>
        <w:rPr>
          <w:rFonts w:hint="eastAsia"/>
        </w:rPr>
        <w:t>、</w:t>
      </w:r>
      <w:r>
        <w:t>土地整治工程等。由于本工程的建设内容空间分布较</w:t>
      </w:r>
      <w:r>
        <w:rPr>
          <w:rFonts w:hint="eastAsia"/>
        </w:rPr>
        <w:t>小</w:t>
      </w:r>
      <w:r>
        <w:t>，每个施工单元规模较</w:t>
      </w:r>
      <w:r>
        <w:rPr>
          <w:rFonts w:hint="eastAsia"/>
        </w:rPr>
        <w:t>小</w:t>
      </w:r>
      <w:r>
        <w:t>，因此采取的监测方法是对各点位、施工单位</w:t>
      </w:r>
      <w:r>
        <w:rPr>
          <w:rFonts w:hint="eastAsia"/>
        </w:rPr>
        <w:t>采用全</w:t>
      </w:r>
      <w:r>
        <w:t>调查监测的工作方法，并详细量测、记录各类工程措施的类型、开工及完工时间、实施位置、规格尺寸、数量等。</w:t>
      </w:r>
    </w:p>
    <w:p>
      <w:pPr>
        <w:pStyle w:val="4"/>
        <w:rPr>
          <w:rFonts w:cs="Times New Roman"/>
        </w:rPr>
      </w:pPr>
      <w:bookmarkStart w:id="26" w:name="_Toc528573375"/>
      <w:r>
        <w:rPr>
          <w:rFonts w:cs="Times New Roman"/>
        </w:rPr>
        <w:t>植物措施监测内容及方法</w:t>
      </w:r>
      <w:bookmarkEnd w:id="26"/>
    </w:p>
    <w:p>
      <w:pPr>
        <w:pStyle w:val="32"/>
        <w:ind w:firstLine="480"/>
        <w:rPr>
          <w:highlight w:val="yellow"/>
        </w:rPr>
      </w:pPr>
      <w:r>
        <w:t>水土保持方案设计的水土保持植物措施</w:t>
      </w:r>
      <w:r>
        <w:rPr>
          <w:rFonts w:hint="eastAsia"/>
        </w:rPr>
        <w:t>主要为</w:t>
      </w:r>
      <w:r>
        <w:rPr>
          <w:rFonts w:hint="eastAsia"/>
          <w:lang w:eastAsia="zh-CN"/>
        </w:rPr>
        <w:t>道路及硬化工程防治区</w:t>
      </w:r>
      <w:r>
        <w:rPr>
          <w:rFonts w:hint="eastAsia"/>
        </w:rPr>
        <w:t>内绿化</w:t>
      </w:r>
      <w:r>
        <w:t>工程</w:t>
      </w:r>
      <w:r>
        <w:rPr>
          <w:rFonts w:hint="eastAsia"/>
        </w:rPr>
        <w:t>。</w:t>
      </w:r>
      <w:r>
        <w:t>由于本工程的建设内容空间分布较</w:t>
      </w:r>
      <w:r>
        <w:rPr>
          <w:rFonts w:hint="eastAsia"/>
        </w:rPr>
        <w:t>大</w:t>
      </w:r>
      <w:r>
        <w:t>，每个施工单元规模较</w:t>
      </w:r>
      <w:r>
        <w:rPr>
          <w:rFonts w:hint="eastAsia"/>
        </w:rPr>
        <w:t>大</w:t>
      </w:r>
      <w:r>
        <w:t>，因此采取的监测方法是对各点位、施工单位按</w:t>
      </w:r>
      <w:r>
        <w:rPr>
          <w:rFonts w:hint="eastAsia"/>
        </w:rPr>
        <w:t>采用全</w:t>
      </w:r>
      <w:r>
        <w:t>调查监测的工作方法，并详细量测、记录各类植物措施的物种种类、数量、苗木规格、栽植数量、生长势、成活率、开工及完工时间等。</w:t>
      </w:r>
    </w:p>
    <w:p>
      <w:pPr>
        <w:pStyle w:val="4"/>
        <w:rPr>
          <w:rFonts w:cs="Times New Roman"/>
        </w:rPr>
      </w:pPr>
      <w:bookmarkStart w:id="27" w:name="_Toc528573376"/>
      <w:r>
        <w:rPr>
          <w:rFonts w:cs="Times New Roman"/>
        </w:rPr>
        <w:t>临时措施监测内容及方法</w:t>
      </w:r>
      <w:bookmarkEnd w:id="27"/>
    </w:p>
    <w:p>
      <w:pPr>
        <w:pStyle w:val="32"/>
        <w:ind w:firstLine="480"/>
      </w:pPr>
      <w:r>
        <w:t>水土保持方案中针对项目特点，提出了施工期间临时防护要求，设计的临时措施主要为临时遮盖</w:t>
      </w:r>
      <w:r>
        <w:rPr>
          <w:rFonts w:hint="eastAsia"/>
        </w:rPr>
        <w:t>、</w:t>
      </w:r>
      <w:r>
        <w:t>排水措施</w:t>
      </w:r>
      <w:r>
        <w:rPr>
          <w:rFonts w:hint="eastAsia"/>
        </w:rPr>
        <w:t>及临时绿化等</w:t>
      </w:r>
      <w:r>
        <w:t>。临时措施的监测是根据措施的实施部位和进度随机进行监测，监测内容包括措施类型、工程量、开始及结束时间等。</w:t>
      </w:r>
    </w:p>
    <w:p>
      <w:pPr>
        <w:ind w:firstLine="480"/>
        <w:rPr>
          <w:rFonts w:cs="Times New Roman"/>
        </w:rPr>
      </w:pPr>
      <w:r>
        <w:rPr>
          <w:rFonts w:cs="Times New Roman"/>
        </w:rPr>
        <w:t>通过现场调查等，按照水土保持方案设计的防治措施体系，在监测过程中对个分区的工程措施、植物措施位置数量以及实施时间和防治效果等进行监测，详见下表2.3-1。</w:t>
      </w:r>
    </w:p>
    <w:p>
      <w:pPr>
        <w:pStyle w:val="24"/>
        <w:rPr>
          <w:rFonts w:cs="Times New Roman"/>
        </w:rPr>
      </w:pPr>
      <w:r>
        <w:rPr>
          <w:rFonts w:cs="Times New Roman"/>
        </w:rPr>
        <w:t>表2.3-1  水土保持措施监测情况一览表</w:t>
      </w:r>
    </w:p>
    <w:tbl>
      <w:tblPr>
        <w:tblStyle w:val="13"/>
        <w:tblW w:w="9286" w:type="dxa"/>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877"/>
        <w:gridCol w:w="3033"/>
        <w:gridCol w:w="1868"/>
        <w:gridCol w:w="1419"/>
        <w:gridCol w:w="2089"/>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877" w:type="dxa"/>
            <w:shd w:val="clear" w:color="auto" w:fill="auto"/>
            <w:vAlign w:val="center"/>
          </w:tcPr>
          <w:p>
            <w:pPr>
              <w:pStyle w:val="23"/>
              <w:rPr>
                <w:rFonts w:cs="Times New Roman"/>
              </w:rPr>
            </w:pPr>
            <w:r>
              <w:rPr>
                <w:rFonts w:cs="Times New Roman"/>
              </w:rPr>
              <w:t>序号</w:t>
            </w:r>
          </w:p>
        </w:tc>
        <w:tc>
          <w:tcPr>
            <w:tcW w:w="3033" w:type="dxa"/>
            <w:shd w:val="clear" w:color="auto" w:fill="auto"/>
            <w:vAlign w:val="center"/>
          </w:tcPr>
          <w:p>
            <w:pPr>
              <w:pStyle w:val="23"/>
              <w:rPr>
                <w:rFonts w:cs="Times New Roman"/>
              </w:rPr>
            </w:pPr>
            <w:r>
              <w:rPr>
                <w:rFonts w:cs="Times New Roman"/>
              </w:rPr>
              <w:t>监测分区</w:t>
            </w:r>
          </w:p>
        </w:tc>
        <w:tc>
          <w:tcPr>
            <w:tcW w:w="1868" w:type="dxa"/>
            <w:shd w:val="clear" w:color="auto" w:fill="auto"/>
            <w:vAlign w:val="center"/>
          </w:tcPr>
          <w:p>
            <w:pPr>
              <w:pStyle w:val="23"/>
              <w:rPr>
                <w:rFonts w:cs="Times New Roman"/>
              </w:rPr>
            </w:pPr>
            <w:r>
              <w:rPr>
                <w:rFonts w:cs="Times New Roman"/>
              </w:rPr>
              <w:t>监测内容</w:t>
            </w:r>
          </w:p>
        </w:tc>
        <w:tc>
          <w:tcPr>
            <w:tcW w:w="1419" w:type="dxa"/>
            <w:shd w:val="clear" w:color="auto" w:fill="auto"/>
            <w:vAlign w:val="center"/>
          </w:tcPr>
          <w:p>
            <w:pPr>
              <w:pStyle w:val="23"/>
              <w:rPr>
                <w:rFonts w:cs="Times New Roman"/>
              </w:rPr>
            </w:pPr>
            <w:r>
              <w:rPr>
                <w:rFonts w:cs="Times New Roman"/>
              </w:rPr>
              <w:t>监测方法</w:t>
            </w:r>
          </w:p>
        </w:tc>
        <w:tc>
          <w:tcPr>
            <w:tcW w:w="2089" w:type="dxa"/>
            <w:shd w:val="clear" w:color="auto" w:fill="auto"/>
            <w:vAlign w:val="center"/>
          </w:tcPr>
          <w:p>
            <w:pPr>
              <w:pStyle w:val="23"/>
              <w:rPr>
                <w:rFonts w:cs="Times New Roman"/>
              </w:rPr>
            </w:pPr>
            <w:r>
              <w:rPr>
                <w:rFonts w:cs="Times New Roman"/>
              </w:rPr>
              <w:t>监测频次</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877" w:type="dxa"/>
            <w:shd w:val="clear" w:color="auto" w:fill="auto"/>
            <w:vAlign w:val="center"/>
          </w:tcPr>
          <w:p>
            <w:pPr>
              <w:pStyle w:val="23"/>
              <w:rPr>
                <w:rFonts w:cs="Times New Roman"/>
              </w:rPr>
            </w:pPr>
            <w:r>
              <w:rPr>
                <w:rFonts w:cs="Times New Roman"/>
              </w:rPr>
              <w:t>1</w:t>
            </w:r>
          </w:p>
        </w:tc>
        <w:tc>
          <w:tcPr>
            <w:tcW w:w="3033" w:type="dxa"/>
            <w:shd w:val="clear" w:color="auto" w:fill="auto"/>
            <w:vAlign w:val="center"/>
          </w:tcPr>
          <w:p>
            <w:pPr>
              <w:pStyle w:val="23"/>
              <w:rPr>
                <w:rFonts w:hint="eastAsia" w:eastAsia="仿宋" w:cs="Times New Roman"/>
                <w:lang w:eastAsia="zh-CN"/>
              </w:rPr>
            </w:pPr>
            <w:r>
              <w:rPr>
                <w:rFonts w:hint="eastAsia" w:cs="Times New Roman"/>
                <w:lang w:eastAsia="zh-CN"/>
              </w:rPr>
              <w:t>建构筑物防治区</w:t>
            </w:r>
          </w:p>
        </w:tc>
        <w:tc>
          <w:tcPr>
            <w:tcW w:w="1868" w:type="dxa"/>
            <w:vMerge w:val="restart"/>
            <w:shd w:val="clear" w:color="auto" w:fill="auto"/>
            <w:vAlign w:val="center"/>
          </w:tcPr>
          <w:p>
            <w:pPr>
              <w:pStyle w:val="23"/>
              <w:rPr>
                <w:rFonts w:cs="Times New Roman"/>
              </w:rPr>
            </w:pPr>
            <w:r>
              <w:rPr>
                <w:rFonts w:cs="Times New Roman"/>
              </w:rPr>
              <w:t>措施类型、实施进度、位置、规格、林草覆盖率、防治效果和运行情况等</w:t>
            </w:r>
          </w:p>
        </w:tc>
        <w:tc>
          <w:tcPr>
            <w:tcW w:w="1419" w:type="dxa"/>
            <w:vMerge w:val="restart"/>
            <w:shd w:val="clear" w:color="auto" w:fill="auto"/>
            <w:vAlign w:val="center"/>
          </w:tcPr>
          <w:p>
            <w:pPr>
              <w:pStyle w:val="23"/>
              <w:rPr>
                <w:rFonts w:cs="Times New Roman"/>
              </w:rPr>
            </w:pPr>
            <w:r>
              <w:rPr>
                <w:rFonts w:cs="Times New Roman"/>
              </w:rPr>
              <w:t>调查巡查监测</w:t>
            </w:r>
          </w:p>
        </w:tc>
        <w:tc>
          <w:tcPr>
            <w:tcW w:w="2089" w:type="dxa"/>
            <w:vMerge w:val="restart"/>
            <w:shd w:val="clear" w:color="auto" w:fill="auto"/>
            <w:vAlign w:val="center"/>
          </w:tcPr>
          <w:p>
            <w:pPr>
              <w:pStyle w:val="23"/>
              <w:rPr>
                <w:rFonts w:cs="Times New Roman"/>
              </w:rPr>
            </w:pPr>
            <w:r>
              <w:rPr>
                <w:rFonts w:hint="eastAsia" w:cs="Times New Roman"/>
              </w:rPr>
              <w:t>全线进行一次整体巡查</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877" w:type="dxa"/>
            <w:shd w:val="clear" w:color="auto" w:fill="auto"/>
            <w:vAlign w:val="center"/>
          </w:tcPr>
          <w:p>
            <w:pPr>
              <w:pStyle w:val="23"/>
              <w:rPr>
                <w:rFonts w:cs="Times New Roman"/>
              </w:rPr>
            </w:pPr>
            <w:r>
              <w:rPr>
                <w:rFonts w:cs="Times New Roman"/>
              </w:rPr>
              <w:t>2</w:t>
            </w:r>
          </w:p>
        </w:tc>
        <w:tc>
          <w:tcPr>
            <w:tcW w:w="3033" w:type="dxa"/>
            <w:shd w:val="clear" w:color="auto" w:fill="auto"/>
            <w:vAlign w:val="center"/>
          </w:tcPr>
          <w:p>
            <w:pPr>
              <w:pStyle w:val="23"/>
              <w:rPr>
                <w:rFonts w:hint="eastAsia" w:eastAsia="仿宋" w:cs="Times New Roman"/>
                <w:lang w:eastAsia="zh-CN"/>
              </w:rPr>
            </w:pPr>
            <w:r>
              <w:rPr>
                <w:rFonts w:hint="eastAsia" w:cs="Times New Roman"/>
                <w:lang w:eastAsia="zh-CN"/>
              </w:rPr>
              <w:t>道路及硬化工程防治区</w:t>
            </w:r>
          </w:p>
        </w:tc>
        <w:tc>
          <w:tcPr>
            <w:tcW w:w="1868" w:type="dxa"/>
            <w:vMerge w:val="continue"/>
            <w:vAlign w:val="center"/>
          </w:tcPr>
          <w:p>
            <w:pPr>
              <w:pStyle w:val="23"/>
              <w:rPr>
                <w:rFonts w:cs="Times New Roman"/>
              </w:rPr>
            </w:pPr>
          </w:p>
        </w:tc>
        <w:tc>
          <w:tcPr>
            <w:tcW w:w="1419" w:type="dxa"/>
            <w:vMerge w:val="continue"/>
            <w:vAlign w:val="center"/>
          </w:tcPr>
          <w:p>
            <w:pPr>
              <w:pStyle w:val="23"/>
              <w:rPr>
                <w:rFonts w:cs="Times New Roman"/>
              </w:rPr>
            </w:pPr>
          </w:p>
        </w:tc>
        <w:tc>
          <w:tcPr>
            <w:tcW w:w="2089" w:type="dxa"/>
            <w:vMerge w:val="continue"/>
            <w:vAlign w:val="center"/>
          </w:tcPr>
          <w:p>
            <w:pPr>
              <w:pStyle w:val="23"/>
              <w:rPr>
                <w:rFonts w:cs="Times New Roman"/>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877" w:type="dxa"/>
            <w:shd w:val="clear" w:color="auto" w:fill="auto"/>
            <w:vAlign w:val="center"/>
          </w:tcPr>
          <w:p>
            <w:pPr>
              <w:pStyle w:val="23"/>
              <w:rPr>
                <w:rFonts w:cs="Times New Roman"/>
              </w:rPr>
            </w:pPr>
            <w:r>
              <w:rPr>
                <w:rFonts w:cs="Times New Roman"/>
              </w:rPr>
              <w:t>3</w:t>
            </w:r>
          </w:p>
        </w:tc>
        <w:tc>
          <w:tcPr>
            <w:tcW w:w="3033" w:type="dxa"/>
            <w:shd w:val="clear" w:color="auto" w:fill="auto"/>
            <w:vAlign w:val="center"/>
          </w:tcPr>
          <w:p>
            <w:pPr>
              <w:pStyle w:val="23"/>
              <w:rPr>
                <w:rFonts w:hint="eastAsia" w:eastAsia="仿宋" w:cs="Times New Roman"/>
                <w:lang w:eastAsia="zh-CN"/>
              </w:rPr>
            </w:pPr>
            <w:r>
              <w:rPr>
                <w:rFonts w:hint="eastAsia" w:cs="Times New Roman"/>
                <w:lang w:eastAsia="zh-CN"/>
              </w:rPr>
              <w:t>绿化防治区</w:t>
            </w:r>
          </w:p>
        </w:tc>
        <w:tc>
          <w:tcPr>
            <w:tcW w:w="1868" w:type="dxa"/>
            <w:vMerge w:val="continue"/>
            <w:vAlign w:val="center"/>
          </w:tcPr>
          <w:p>
            <w:pPr>
              <w:pStyle w:val="23"/>
              <w:rPr>
                <w:rFonts w:cs="Times New Roman"/>
              </w:rPr>
            </w:pPr>
          </w:p>
        </w:tc>
        <w:tc>
          <w:tcPr>
            <w:tcW w:w="1419" w:type="dxa"/>
            <w:vMerge w:val="continue"/>
            <w:vAlign w:val="center"/>
          </w:tcPr>
          <w:p>
            <w:pPr>
              <w:pStyle w:val="23"/>
              <w:rPr>
                <w:rFonts w:cs="Times New Roman"/>
              </w:rPr>
            </w:pPr>
          </w:p>
        </w:tc>
        <w:tc>
          <w:tcPr>
            <w:tcW w:w="2089" w:type="dxa"/>
            <w:vMerge w:val="continue"/>
            <w:vAlign w:val="center"/>
          </w:tcPr>
          <w:p>
            <w:pPr>
              <w:pStyle w:val="23"/>
              <w:rPr>
                <w:rFonts w:cs="Times New Roman"/>
              </w:rPr>
            </w:pPr>
          </w:p>
        </w:tc>
      </w:tr>
    </w:tbl>
    <w:p>
      <w:pPr>
        <w:pStyle w:val="3"/>
        <w:rPr>
          <w:rFonts w:ascii="Times New Roman" w:hAnsi="Times New Roman" w:cs="Times New Roman"/>
        </w:rPr>
      </w:pPr>
      <w:bookmarkStart w:id="28" w:name="_Toc2534360"/>
      <w:bookmarkStart w:id="29" w:name="_Toc5825903"/>
      <w:bookmarkStart w:id="30" w:name="_Toc26606"/>
      <w:r>
        <w:rPr>
          <w:rFonts w:ascii="Times New Roman" w:hAnsi="Times New Roman" w:cs="Times New Roman"/>
        </w:rPr>
        <w:t>水土流失情况</w:t>
      </w:r>
      <w:bookmarkEnd w:id="28"/>
      <w:bookmarkEnd w:id="29"/>
      <w:bookmarkEnd w:id="30"/>
    </w:p>
    <w:p>
      <w:pPr>
        <w:pStyle w:val="4"/>
        <w:rPr>
          <w:rFonts w:cs="Times New Roman"/>
        </w:rPr>
      </w:pPr>
      <w:r>
        <w:rPr>
          <w:rFonts w:cs="Times New Roman"/>
        </w:rPr>
        <w:t>水土流失面积监测</w:t>
      </w:r>
    </w:p>
    <w:p>
      <w:pPr>
        <w:pStyle w:val="32"/>
        <w:ind w:firstLine="480"/>
      </w:pPr>
      <w:bookmarkStart w:id="31" w:name="_Toc329182343"/>
      <w:r>
        <w:t>水土流失面积监测内容包括扰动地表面积、工程建设占压面积、硬化面积、产生水土流失的面积等。本工程水土流失面积的监测主要通过</w:t>
      </w:r>
      <w:r>
        <w:rPr>
          <w:rFonts w:hint="eastAsia"/>
        </w:rPr>
        <w:t>调查监测</w:t>
      </w:r>
      <w:r>
        <w:t>的方法进行</w:t>
      </w:r>
      <w:r>
        <w:rPr>
          <w:rFonts w:hint="eastAsia"/>
        </w:rPr>
        <w:t>，</w:t>
      </w:r>
      <w:r>
        <w:t>监测频次为1次。</w:t>
      </w:r>
    </w:p>
    <w:bookmarkEnd w:id="31"/>
    <w:p>
      <w:pPr>
        <w:pStyle w:val="4"/>
        <w:rPr>
          <w:rFonts w:cs="Times New Roman"/>
        </w:rPr>
      </w:pPr>
      <w:bookmarkStart w:id="32" w:name="_Toc528573379"/>
      <w:r>
        <w:rPr>
          <w:rFonts w:cs="Times New Roman"/>
        </w:rPr>
        <w:t>土壤流失量监测</w:t>
      </w:r>
      <w:bookmarkEnd w:id="32"/>
    </w:p>
    <w:p>
      <w:pPr>
        <w:pStyle w:val="32"/>
        <w:ind w:firstLine="480"/>
        <w:rPr>
          <w:snapToGrid w:val="0"/>
        </w:rPr>
      </w:pPr>
      <w:r>
        <w:rPr>
          <w:snapToGrid w:val="0"/>
        </w:rPr>
        <w:t>土壤流失量的监测内容包括工程建设扰动地表植被面积、占用破坏水土保持设施的数量、土石方量及弃土弃渣量、流失面积和流失量、水土流失变化情况（类型、形式、流失量）等方面的监测。本工程水土流失量监测主要采取调查以及巡查相结合方法。</w:t>
      </w:r>
    </w:p>
    <w:p>
      <w:pPr>
        <w:pStyle w:val="4"/>
        <w:rPr>
          <w:rFonts w:cs="Times New Roman"/>
        </w:rPr>
      </w:pPr>
      <w:bookmarkStart w:id="33" w:name="_Toc528573381"/>
      <w:r>
        <w:rPr>
          <w:rFonts w:cs="Times New Roman"/>
        </w:rPr>
        <w:t>水土流失危害监测</w:t>
      </w:r>
      <w:bookmarkEnd w:id="33"/>
    </w:p>
    <w:p>
      <w:pPr>
        <w:ind w:firstLine="480"/>
        <w:rPr>
          <w:rFonts w:cs="Times New Roman"/>
        </w:rPr>
      </w:pPr>
      <w:r>
        <w:rPr>
          <w:rFonts w:cs="Times New Roman"/>
          <w:snapToGrid w:val="0"/>
          <w:kern w:val="0"/>
        </w:rPr>
        <w:t>水土流失危害主要</w:t>
      </w:r>
      <w:r>
        <w:rPr>
          <w:rFonts w:cs="Times New Roman"/>
        </w:rPr>
        <w:t>包括工程建设过程产生的水土流失及其对下游河道的影响；工程建设区植被及生态环境变化；工程建设对环境的影响等。本次工程建设中临时堆土场均采用有效的防护措施，因此建设中未产生水土流失危害。</w:t>
      </w:r>
    </w:p>
    <w:p>
      <w:pPr>
        <w:ind w:firstLine="480"/>
        <w:rPr>
          <w:rFonts w:cs="Times New Roman"/>
        </w:rPr>
      </w:pPr>
      <w:r>
        <w:rPr>
          <w:rFonts w:cs="Times New Roman"/>
        </w:rPr>
        <w:t>项目建设对水土流水的影响主要是工程施工活动。根据工程建设实际情况和《报告书》对水土保持监测的要求，结合现场调查分析，水土流失的重点区域是</w:t>
      </w:r>
      <w:r>
        <w:rPr>
          <w:rFonts w:hint="eastAsia" w:cs="Times New Roman"/>
          <w:lang w:eastAsia="zh-CN"/>
        </w:rPr>
        <w:t>建构筑物防治区</w:t>
      </w:r>
      <w:r>
        <w:rPr>
          <w:rFonts w:cs="Times New Roman"/>
        </w:rPr>
        <w:t>。</w:t>
      </w:r>
    </w:p>
    <w:p>
      <w:pPr>
        <w:ind w:firstLine="480"/>
        <w:rPr>
          <w:rFonts w:cs="Times New Roman"/>
        </w:rPr>
      </w:pPr>
      <w:r>
        <w:rPr>
          <w:rFonts w:cs="Times New Roman"/>
        </w:rPr>
        <w:t>参考批复的水保方案，确定项目区水土流失类型主要为水力侵蚀。</w:t>
      </w:r>
    </w:p>
    <w:p>
      <w:pPr>
        <w:ind w:firstLine="480"/>
        <w:rPr>
          <w:rFonts w:cs="Times New Roman"/>
        </w:rPr>
      </w:pPr>
      <w:r>
        <w:rPr>
          <w:rFonts w:cs="Times New Roman"/>
        </w:rPr>
        <w:t>因项目在施工活动过程中进行了较大量的土石方开挖回填活动，水土流失量增大。在项目区建设完成后，由于采用工程措施和植物措施进行防护，在运行期水土流失到防治标准，水土流失量小。水土流失主要采用调查监测法。</w:t>
      </w:r>
    </w:p>
    <w:p>
      <w:pPr>
        <w:pStyle w:val="24"/>
        <w:rPr>
          <w:rFonts w:cs="Times New Roman"/>
        </w:rPr>
      </w:pPr>
      <w:r>
        <w:rPr>
          <w:rFonts w:cs="Times New Roman"/>
        </w:rPr>
        <w:t>表2.4-1 水土流失情况监测一览表</w:t>
      </w:r>
    </w:p>
    <w:tbl>
      <w:tblPr>
        <w:tblStyle w:val="13"/>
        <w:tblW w:w="9286"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722"/>
        <w:gridCol w:w="3187"/>
        <w:gridCol w:w="2125"/>
        <w:gridCol w:w="1517"/>
        <w:gridCol w:w="1735"/>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722" w:type="dxa"/>
            <w:shd w:val="clear" w:color="auto" w:fill="auto"/>
            <w:vAlign w:val="center"/>
          </w:tcPr>
          <w:p>
            <w:pPr>
              <w:pStyle w:val="23"/>
              <w:rPr>
                <w:rFonts w:cs="Times New Roman"/>
              </w:rPr>
            </w:pPr>
            <w:r>
              <w:rPr>
                <w:rFonts w:cs="Times New Roman"/>
              </w:rPr>
              <w:t>序号</w:t>
            </w:r>
          </w:p>
        </w:tc>
        <w:tc>
          <w:tcPr>
            <w:tcW w:w="3187" w:type="dxa"/>
            <w:shd w:val="clear" w:color="auto" w:fill="auto"/>
            <w:vAlign w:val="center"/>
          </w:tcPr>
          <w:p>
            <w:pPr>
              <w:pStyle w:val="23"/>
              <w:rPr>
                <w:rFonts w:cs="Times New Roman"/>
              </w:rPr>
            </w:pPr>
            <w:r>
              <w:rPr>
                <w:rFonts w:cs="Times New Roman"/>
              </w:rPr>
              <w:t>监测分区</w:t>
            </w:r>
          </w:p>
        </w:tc>
        <w:tc>
          <w:tcPr>
            <w:tcW w:w="2125" w:type="dxa"/>
            <w:shd w:val="clear" w:color="auto" w:fill="auto"/>
            <w:vAlign w:val="center"/>
          </w:tcPr>
          <w:p>
            <w:pPr>
              <w:pStyle w:val="23"/>
              <w:rPr>
                <w:rFonts w:cs="Times New Roman"/>
              </w:rPr>
            </w:pPr>
            <w:r>
              <w:rPr>
                <w:rFonts w:cs="Times New Roman"/>
              </w:rPr>
              <w:t>监测内容</w:t>
            </w:r>
          </w:p>
        </w:tc>
        <w:tc>
          <w:tcPr>
            <w:tcW w:w="1517" w:type="dxa"/>
            <w:shd w:val="clear" w:color="auto" w:fill="auto"/>
            <w:vAlign w:val="center"/>
          </w:tcPr>
          <w:p>
            <w:pPr>
              <w:pStyle w:val="23"/>
              <w:rPr>
                <w:rFonts w:cs="Times New Roman"/>
              </w:rPr>
            </w:pPr>
            <w:r>
              <w:rPr>
                <w:rFonts w:cs="Times New Roman"/>
              </w:rPr>
              <w:t>监测方法</w:t>
            </w:r>
          </w:p>
        </w:tc>
        <w:tc>
          <w:tcPr>
            <w:tcW w:w="1735" w:type="dxa"/>
            <w:shd w:val="clear" w:color="auto" w:fill="auto"/>
            <w:vAlign w:val="center"/>
          </w:tcPr>
          <w:p>
            <w:pPr>
              <w:pStyle w:val="23"/>
              <w:rPr>
                <w:rFonts w:cs="Times New Roman"/>
              </w:rPr>
            </w:pPr>
            <w:r>
              <w:rPr>
                <w:rFonts w:cs="Times New Roman"/>
              </w:rPr>
              <w:t>监测频次</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722" w:type="dxa"/>
            <w:shd w:val="clear" w:color="auto" w:fill="auto"/>
            <w:vAlign w:val="center"/>
          </w:tcPr>
          <w:p>
            <w:pPr>
              <w:pStyle w:val="23"/>
              <w:rPr>
                <w:rFonts w:cs="Times New Roman"/>
              </w:rPr>
            </w:pPr>
            <w:r>
              <w:rPr>
                <w:rFonts w:cs="Times New Roman"/>
              </w:rPr>
              <w:t>1</w:t>
            </w:r>
          </w:p>
        </w:tc>
        <w:tc>
          <w:tcPr>
            <w:tcW w:w="3187" w:type="dxa"/>
            <w:shd w:val="clear" w:color="auto" w:fill="auto"/>
            <w:vAlign w:val="center"/>
          </w:tcPr>
          <w:p>
            <w:pPr>
              <w:pStyle w:val="23"/>
              <w:rPr>
                <w:rFonts w:hint="eastAsia" w:eastAsia="仿宋" w:cs="Times New Roman"/>
                <w:lang w:eastAsia="zh-CN"/>
              </w:rPr>
            </w:pPr>
            <w:r>
              <w:rPr>
                <w:rFonts w:hint="eastAsia" w:cs="Times New Roman"/>
                <w:lang w:eastAsia="zh-CN"/>
              </w:rPr>
              <w:t>建构筑物防治区</w:t>
            </w:r>
          </w:p>
        </w:tc>
        <w:tc>
          <w:tcPr>
            <w:tcW w:w="2125" w:type="dxa"/>
            <w:vMerge w:val="restart"/>
            <w:shd w:val="clear" w:color="auto" w:fill="auto"/>
            <w:vAlign w:val="center"/>
          </w:tcPr>
          <w:p>
            <w:pPr>
              <w:pStyle w:val="23"/>
              <w:rPr>
                <w:rFonts w:cs="Times New Roman"/>
              </w:rPr>
            </w:pPr>
            <w:r>
              <w:rPr>
                <w:rFonts w:cs="Times New Roman"/>
              </w:rPr>
              <w:t>水土流失面积、土壤流失量、水土流失危害等</w:t>
            </w:r>
          </w:p>
        </w:tc>
        <w:tc>
          <w:tcPr>
            <w:tcW w:w="1517" w:type="dxa"/>
            <w:vMerge w:val="restart"/>
            <w:shd w:val="clear" w:color="auto" w:fill="auto"/>
            <w:vAlign w:val="center"/>
          </w:tcPr>
          <w:p>
            <w:pPr>
              <w:pStyle w:val="23"/>
              <w:rPr>
                <w:rFonts w:cs="Times New Roman"/>
              </w:rPr>
            </w:pPr>
            <w:r>
              <w:rPr>
                <w:rFonts w:cs="Times New Roman"/>
              </w:rPr>
              <w:t>调查巡查监测</w:t>
            </w:r>
          </w:p>
        </w:tc>
        <w:tc>
          <w:tcPr>
            <w:tcW w:w="1735" w:type="dxa"/>
            <w:vMerge w:val="restart"/>
            <w:shd w:val="clear" w:color="auto" w:fill="auto"/>
            <w:vAlign w:val="center"/>
          </w:tcPr>
          <w:p>
            <w:pPr>
              <w:pStyle w:val="23"/>
              <w:rPr>
                <w:rFonts w:cs="Times New Roman"/>
              </w:rPr>
            </w:pPr>
            <w:r>
              <w:rPr>
                <w:rFonts w:hint="eastAsia" w:cs="Times New Roman"/>
              </w:rPr>
              <w:t>全线进行一次整体巡查</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722" w:type="dxa"/>
            <w:shd w:val="clear" w:color="auto" w:fill="auto"/>
            <w:vAlign w:val="center"/>
          </w:tcPr>
          <w:p>
            <w:pPr>
              <w:pStyle w:val="23"/>
              <w:rPr>
                <w:rFonts w:cs="Times New Roman"/>
              </w:rPr>
            </w:pPr>
            <w:r>
              <w:rPr>
                <w:rFonts w:cs="Times New Roman"/>
              </w:rPr>
              <w:t>2</w:t>
            </w:r>
          </w:p>
        </w:tc>
        <w:tc>
          <w:tcPr>
            <w:tcW w:w="3187" w:type="dxa"/>
            <w:shd w:val="clear" w:color="auto" w:fill="auto"/>
            <w:vAlign w:val="center"/>
          </w:tcPr>
          <w:p>
            <w:pPr>
              <w:pStyle w:val="23"/>
              <w:rPr>
                <w:rFonts w:hint="eastAsia" w:eastAsia="仿宋" w:cs="Times New Roman"/>
                <w:lang w:eastAsia="zh-CN"/>
              </w:rPr>
            </w:pPr>
            <w:r>
              <w:rPr>
                <w:rFonts w:hint="eastAsia" w:cs="Times New Roman"/>
                <w:lang w:eastAsia="zh-CN"/>
              </w:rPr>
              <w:t>道路及硬化工程防治区</w:t>
            </w:r>
          </w:p>
        </w:tc>
        <w:tc>
          <w:tcPr>
            <w:tcW w:w="2125" w:type="dxa"/>
            <w:vMerge w:val="continue"/>
            <w:vAlign w:val="center"/>
          </w:tcPr>
          <w:p>
            <w:pPr>
              <w:pStyle w:val="23"/>
              <w:rPr>
                <w:rFonts w:cs="Times New Roman"/>
              </w:rPr>
            </w:pPr>
          </w:p>
        </w:tc>
        <w:tc>
          <w:tcPr>
            <w:tcW w:w="1517" w:type="dxa"/>
            <w:vMerge w:val="continue"/>
            <w:vAlign w:val="center"/>
          </w:tcPr>
          <w:p>
            <w:pPr>
              <w:pStyle w:val="23"/>
              <w:rPr>
                <w:rFonts w:cs="Times New Roman"/>
              </w:rPr>
            </w:pPr>
          </w:p>
        </w:tc>
        <w:tc>
          <w:tcPr>
            <w:tcW w:w="1735" w:type="dxa"/>
            <w:vMerge w:val="continue"/>
            <w:vAlign w:val="center"/>
          </w:tcPr>
          <w:p>
            <w:pPr>
              <w:pStyle w:val="23"/>
              <w:rPr>
                <w:rFonts w:cs="Times New Roman"/>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722" w:type="dxa"/>
            <w:shd w:val="clear" w:color="auto" w:fill="auto"/>
            <w:vAlign w:val="center"/>
          </w:tcPr>
          <w:p>
            <w:pPr>
              <w:pStyle w:val="23"/>
              <w:rPr>
                <w:rFonts w:cs="Times New Roman"/>
              </w:rPr>
            </w:pPr>
            <w:r>
              <w:rPr>
                <w:rFonts w:cs="Times New Roman"/>
              </w:rPr>
              <w:t>3</w:t>
            </w:r>
          </w:p>
        </w:tc>
        <w:tc>
          <w:tcPr>
            <w:tcW w:w="3187" w:type="dxa"/>
            <w:shd w:val="clear" w:color="auto" w:fill="auto"/>
            <w:vAlign w:val="center"/>
          </w:tcPr>
          <w:p>
            <w:pPr>
              <w:pStyle w:val="23"/>
              <w:rPr>
                <w:rFonts w:hint="eastAsia" w:eastAsia="仿宋" w:cs="Times New Roman"/>
                <w:lang w:eastAsia="zh-CN"/>
              </w:rPr>
            </w:pPr>
            <w:r>
              <w:rPr>
                <w:rFonts w:hint="eastAsia" w:cs="Times New Roman"/>
                <w:lang w:eastAsia="zh-CN"/>
              </w:rPr>
              <w:t>绿化防治区</w:t>
            </w:r>
          </w:p>
        </w:tc>
        <w:tc>
          <w:tcPr>
            <w:tcW w:w="2125" w:type="dxa"/>
            <w:vMerge w:val="continue"/>
            <w:vAlign w:val="center"/>
          </w:tcPr>
          <w:p>
            <w:pPr>
              <w:pStyle w:val="23"/>
              <w:rPr>
                <w:rFonts w:cs="Times New Roman"/>
              </w:rPr>
            </w:pPr>
          </w:p>
        </w:tc>
        <w:tc>
          <w:tcPr>
            <w:tcW w:w="1517" w:type="dxa"/>
            <w:vMerge w:val="continue"/>
            <w:vAlign w:val="center"/>
          </w:tcPr>
          <w:p>
            <w:pPr>
              <w:pStyle w:val="23"/>
              <w:rPr>
                <w:rFonts w:cs="Times New Roman"/>
              </w:rPr>
            </w:pPr>
          </w:p>
        </w:tc>
        <w:tc>
          <w:tcPr>
            <w:tcW w:w="1735" w:type="dxa"/>
            <w:vMerge w:val="continue"/>
            <w:vAlign w:val="center"/>
          </w:tcPr>
          <w:p>
            <w:pPr>
              <w:pStyle w:val="23"/>
              <w:rPr>
                <w:rFonts w:cs="Times New Roman"/>
              </w:rPr>
            </w:pPr>
          </w:p>
        </w:tc>
      </w:tr>
    </w:tbl>
    <w:p>
      <w:pPr>
        <w:tabs>
          <w:tab w:val="left" w:pos="3352"/>
        </w:tabs>
        <w:ind w:firstLine="480"/>
        <w:rPr>
          <w:rFonts w:cs="Times New Roman"/>
        </w:rPr>
      </w:pPr>
    </w:p>
    <w:p>
      <w:pPr>
        <w:widowControl/>
        <w:spacing w:line="240" w:lineRule="auto"/>
        <w:ind w:firstLine="0" w:firstLineChars="0"/>
        <w:jc w:val="left"/>
        <w:rPr>
          <w:rFonts w:cs="Times New Roman"/>
        </w:rPr>
      </w:pPr>
      <w:r>
        <w:rPr>
          <w:rFonts w:cs="Times New Roman"/>
        </w:rPr>
        <w:br w:type="page"/>
      </w:r>
    </w:p>
    <w:p>
      <w:pPr>
        <w:pStyle w:val="2"/>
        <w:rPr>
          <w:rFonts w:cs="Times New Roman"/>
        </w:rPr>
      </w:pPr>
      <w:bookmarkStart w:id="34" w:name="_Toc5825904"/>
      <w:bookmarkStart w:id="35" w:name="_Toc2534361"/>
      <w:bookmarkStart w:id="36" w:name="_Toc18114"/>
      <w:r>
        <w:rPr>
          <w:rFonts w:cs="Times New Roman"/>
        </w:rPr>
        <w:t>重点对象水土流失动态监测</w:t>
      </w:r>
      <w:bookmarkEnd w:id="34"/>
      <w:bookmarkEnd w:id="35"/>
      <w:bookmarkEnd w:id="36"/>
    </w:p>
    <w:p>
      <w:pPr>
        <w:pStyle w:val="3"/>
        <w:rPr>
          <w:rFonts w:ascii="Times New Roman" w:hAnsi="Times New Roman" w:cs="Times New Roman"/>
        </w:rPr>
      </w:pPr>
      <w:bookmarkStart w:id="37" w:name="_Toc2534362"/>
      <w:bookmarkStart w:id="38" w:name="_Toc17714"/>
      <w:bookmarkStart w:id="39" w:name="_Toc5825905"/>
      <w:r>
        <w:rPr>
          <w:rFonts w:ascii="Times New Roman" w:hAnsi="Times New Roman" w:cs="Times New Roman"/>
        </w:rPr>
        <w:t>防治责任范围监测</w:t>
      </w:r>
      <w:bookmarkEnd w:id="37"/>
      <w:bookmarkEnd w:id="38"/>
      <w:bookmarkEnd w:id="39"/>
    </w:p>
    <w:p>
      <w:pPr>
        <w:pStyle w:val="4"/>
        <w:rPr>
          <w:rFonts w:cs="Times New Roman"/>
        </w:rPr>
      </w:pPr>
      <w:r>
        <w:rPr>
          <w:rFonts w:cs="Times New Roman"/>
        </w:rPr>
        <w:t>水土流失</w:t>
      </w:r>
      <w:r>
        <w:rPr>
          <w:rStyle w:val="19"/>
          <w:rFonts w:cs="Times New Roman"/>
          <w:bCs w:val="0"/>
        </w:rPr>
        <w:t>防治</w:t>
      </w:r>
      <w:r>
        <w:rPr>
          <w:rFonts w:cs="Times New Roman"/>
        </w:rPr>
        <w:t>责任范围</w:t>
      </w:r>
    </w:p>
    <w:p>
      <w:pPr>
        <w:ind w:firstLine="480"/>
        <w:rPr>
          <w:rFonts w:cs="Times New Roman"/>
        </w:rPr>
      </w:pPr>
      <w:r>
        <w:rPr>
          <w:rFonts w:cs="Times New Roman"/>
        </w:rPr>
        <w:t>（1）根据批复水保方案，本工程水土流失防治责任范围</w:t>
      </w:r>
      <w:r>
        <w:rPr>
          <w:rFonts w:hint="eastAsia" w:cs="Times New Roman"/>
          <w:lang w:eastAsia="zh-CN"/>
        </w:rPr>
        <w:t>4.45</w:t>
      </w:r>
      <w:r>
        <w:rPr>
          <w:rFonts w:cs="Times New Roman"/>
        </w:rPr>
        <w:t>hm</w:t>
      </w:r>
      <w:r>
        <w:rPr>
          <w:rFonts w:cs="Times New Roman"/>
          <w:vertAlign w:val="superscript"/>
        </w:rPr>
        <w:t>2</w:t>
      </w:r>
      <w:r>
        <w:rPr>
          <w:rFonts w:cs="Times New Roman"/>
        </w:rPr>
        <w:t>，</w:t>
      </w:r>
      <w:r>
        <w:rPr>
          <w:rFonts w:hint="eastAsia" w:cs="Times New Roman"/>
        </w:rPr>
        <w:t>其中项目建设区</w:t>
      </w:r>
      <w:r>
        <w:rPr>
          <w:rFonts w:hint="eastAsia" w:cs="Times New Roman"/>
          <w:lang w:val="en-US" w:eastAsia="zh-CN"/>
        </w:rPr>
        <w:t>4.45</w:t>
      </w:r>
      <w:r>
        <w:rPr>
          <w:rFonts w:cs="Times New Roman"/>
        </w:rPr>
        <w:t>hm</w:t>
      </w:r>
      <w:r>
        <w:rPr>
          <w:rFonts w:cs="Times New Roman"/>
          <w:vertAlign w:val="superscript"/>
        </w:rPr>
        <w:t>2</w:t>
      </w:r>
      <w:r>
        <w:rPr>
          <w:rFonts w:hint="eastAsia" w:cs="Times New Roman"/>
        </w:rPr>
        <w:t>，直接影响区</w:t>
      </w:r>
      <w:r>
        <w:rPr>
          <w:rFonts w:hint="eastAsia" w:cs="Times New Roman"/>
          <w:lang w:val="en-US" w:eastAsia="zh-CN"/>
        </w:rPr>
        <w:t>0</w:t>
      </w:r>
      <w:r>
        <w:rPr>
          <w:rFonts w:cs="Times New Roman"/>
        </w:rPr>
        <w:t>hm</w:t>
      </w:r>
      <w:r>
        <w:rPr>
          <w:rFonts w:cs="Times New Roman"/>
          <w:vertAlign w:val="superscript"/>
        </w:rPr>
        <w:t>2</w:t>
      </w:r>
      <w:r>
        <w:rPr>
          <w:rFonts w:cs="Times New Roman"/>
        </w:rPr>
        <w:t>。</w:t>
      </w:r>
    </w:p>
    <w:p>
      <w:pPr>
        <w:ind w:firstLine="480"/>
        <w:rPr>
          <w:rFonts w:cs="Times New Roman"/>
        </w:rPr>
      </w:pPr>
      <w:r>
        <w:rPr>
          <w:rFonts w:cs="Times New Roman"/>
        </w:rPr>
        <w:t>批复的水土流失防治责任范围详见表3.1-1所示。</w:t>
      </w:r>
    </w:p>
    <w:p>
      <w:pPr>
        <w:pStyle w:val="24"/>
      </w:pPr>
      <w:r>
        <w:rPr>
          <w:rFonts w:cs="Times New Roman"/>
        </w:rPr>
        <w:t>表3.1-1  方案设计的水土流失防治责任范围</w:t>
      </w:r>
    </w:p>
    <w:tbl>
      <w:tblPr>
        <w:tblStyle w:val="13"/>
        <w:tblW w:w="5000"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971"/>
        <w:gridCol w:w="1539"/>
        <w:gridCol w:w="1000"/>
        <w:gridCol w:w="1000"/>
        <w:gridCol w:w="892"/>
        <w:gridCol w:w="3698"/>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534" w:type="pct"/>
            <w:tcBorders>
              <w:tl2br w:val="nil"/>
              <w:tr2bl w:val="nil"/>
            </w:tcBorders>
            <w:shd w:val="clear" w:color="auto" w:fill="auto"/>
            <w:noWrap/>
            <w:tcMar>
              <w:top w:w="15" w:type="dxa"/>
              <w:left w:w="15" w:type="dxa"/>
              <w:right w:w="15" w:type="dxa"/>
            </w:tcMar>
            <w:vAlign w:val="center"/>
          </w:tcPr>
          <w:p>
            <w:pPr>
              <w:pStyle w:val="23"/>
            </w:pPr>
            <w:r>
              <w:t>序号</w:t>
            </w:r>
          </w:p>
        </w:tc>
        <w:tc>
          <w:tcPr>
            <w:tcW w:w="845" w:type="pct"/>
            <w:tcBorders>
              <w:tl2br w:val="nil"/>
              <w:tr2bl w:val="nil"/>
            </w:tcBorders>
            <w:shd w:val="clear" w:color="auto" w:fill="auto"/>
            <w:tcMar>
              <w:top w:w="15" w:type="dxa"/>
              <w:left w:w="15" w:type="dxa"/>
              <w:right w:w="15" w:type="dxa"/>
            </w:tcMar>
            <w:vAlign w:val="center"/>
          </w:tcPr>
          <w:p>
            <w:pPr>
              <w:pStyle w:val="23"/>
            </w:pPr>
            <w:r>
              <w:t>防治分区</w:t>
            </w:r>
          </w:p>
        </w:tc>
        <w:tc>
          <w:tcPr>
            <w:tcW w:w="549" w:type="pct"/>
            <w:tcBorders>
              <w:tl2br w:val="nil"/>
              <w:tr2bl w:val="nil"/>
            </w:tcBorders>
            <w:shd w:val="clear" w:color="auto" w:fill="auto"/>
            <w:tcMar>
              <w:top w:w="15" w:type="dxa"/>
              <w:left w:w="15" w:type="dxa"/>
              <w:right w:w="15" w:type="dxa"/>
            </w:tcMar>
            <w:vAlign w:val="center"/>
          </w:tcPr>
          <w:p>
            <w:pPr>
              <w:pStyle w:val="23"/>
            </w:pPr>
            <w:r>
              <w:t>防治责任范围（hm²）</w:t>
            </w:r>
          </w:p>
        </w:tc>
        <w:tc>
          <w:tcPr>
            <w:tcW w:w="549" w:type="pct"/>
            <w:tcBorders>
              <w:tl2br w:val="nil"/>
              <w:tr2bl w:val="nil"/>
            </w:tcBorders>
            <w:shd w:val="clear" w:color="auto" w:fill="auto"/>
            <w:tcMar>
              <w:top w:w="15" w:type="dxa"/>
              <w:left w:w="15" w:type="dxa"/>
              <w:right w:w="15" w:type="dxa"/>
            </w:tcMar>
            <w:vAlign w:val="center"/>
          </w:tcPr>
          <w:p>
            <w:pPr>
              <w:pStyle w:val="23"/>
            </w:pPr>
            <w:r>
              <w:t>项目建设区面积（hm²）</w:t>
            </w:r>
          </w:p>
        </w:tc>
        <w:tc>
          <w:tcPr>
            <w:tcW w:w="490" w:type="pct"/>
            <w:tcBorders>
              <w:tl2br w:val="nil"/>
              <w:tr2bl w:val="nil"/>
            </w:tcBorders>
            <w:shd w:val="clear" w:color="auto" w:fill="auto"/>
            <w:tcMar>
              <w:top w:w="15" w:type="dxa"/>
              <w:left w:w="15" w:type="dxa"/>
              <w:right w:w="15" w:type="dxa"/>
            </w:tcMar>
            <w:vAlign w:val="center"/>
          </w:tcPr>
          <w:p>
            <w:pPr>
              <w:pStyle w:val="23"/>
            </w:pPr>
            <w:r>
              <w:t>直接影响区（hm²）</w:t>
            </w:r>
          </w:p>
        </w:tc>
        <w:tc>
          <w:tcPr>
            <w:tcW w:w="2031" w:type="pct"/>
            <w:tcBorders>
              <w:tl2br w:val="nil"/>
              <w:tr2bl w:val="nil"/>
            </w:tcBorders>
            <w:shd w:val="clear" w:color="auto" w:fill="auto"/>
            <w:tcMar>
              <w:top w:w="15" w:type="dxa"/>
              <w:left w:w="15" w:type="dxa"/>
              <w:right w:w="15" w:type="dxa"/>
            </w:tcMar>
            <w:vAlign w:val="center"/>
          </w:tcPr>
          <w:p>
            <w:pPr>
              <w:pStyle w:val="23"/>
            </w:pPr>
            <w:r>
              <w:t>防治对象</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534" w:type="pct"/>
            <w:tcBorders>
              <w:tl2br w:val="nil"/>
              <w:tr2bl w:val="nil"/>
            </w:tcBorders>
            <w:shd w:val="clear" w:color="auto" w:fill="auto"/>
            <w:noWrap/>
            <w:tcMar>
              <w:top w:w="15" w:type="dxa"/>
              <w:left w:w="15" w:type="dxa"/>
              <w:right w:w="15" w:type="dxa"/>
            </w:tcMar>
            <w:vAlign w:val="center"/>
          </w:tcPr>
          <w:p>
            <w:pPr>
              <w:pStyle w:val="23"/>
            </w:pPr>
            <w:r>
              <w:rPr>
                <w:rFonts w:hint="eastAsia"/>
              </w:rPr>
              <w:t>1</w:t>
            </w:r>
          </w:p>
        </w:tc>
        <w:tc>
          <w:tcPr>
            <w:tcW w:w="845" w:type="pct"/>
            <w:tcBorders>
              <w:tl2br w:val="nil"/>
              <w:tr2bl w:val="nil"/>
            </w:tcBorders>
            <w:shd w:val="clear" w:color="auto" w:fill="auto"/>
            <w:noWrap/>
            <w:tcMar>
              <w:top w:w="15" w:type="dxa"/>
              <w:left w:w="15" w:type="dxa"/>
              <w:right w:w="15" w:type="dxa"/>
            </w:tcMar>
            <w:vAlign w:val="center"/>
          </w:tcPr>
          <w:p>
            <w:pPr>
              <w:pStyle w:val="23"/>
            </w:pPr>
            <w:r>
              <w:rPr>
                <w:rFonts w:hint="eastAsia"/>
              </w:rPr>
              <w:t>主体工程区</w:t>
            </w:r>
          </w:p>
        </w:tc>
        <w:tc>
          <w:tcPr>
            <w:tcW w:w="999" w:type="dxa"/>
            <w:tcBorders>
              <w:tl2br w:val="nil"/>
              <w:tr2bl w:val="nil"/>
            </w:tcBorders>
            <w:shd w:val="clear" w:color="auto" w:fill="auto"/>
            <w:noWrap/>
            <w:tcMar>
              <w:top w:w="15" w:type="dxa"/>
              <w:left w:w="15" w:type="dxa"/>
              <w:right w:w="15" w:type="dxa"/>
            </w:tcMar>
            <w:vAlign w:val="bottom"/>
          </w:tcPr>
          <w:p>
            <w:pPr>
              <w:pStyle w:val="23"/>
              <w:bidi w:val="0"/>
              <w:ind w:firstLine="0" w:firstLineChars="0"/>
            </w:pPr>
            <w:r>
              <w:rPr>
                <w:rFonts w:hint="eastAsia"/>
                <w:lang w:val="en-US" w:eastAsia="zh-CN"/>
              </w:rPr>
              <w:t>2.77</w:t>
            </w:r>
          </w:p>
        </w:tc>
        <w:tc>
          <w:tcPr>
            <w:tcW w:w="999" w:type="dxa"/>
            <w:tcBorders>
              <w:tl2br w:val="nil"/>
              <w:tr2bl w:val="nil"/>
            </w:tcBorders>
            <w:shd w:val="clear" w:color="auto" w:fill="auto"/>
            <w:noWrap/>
            <w:tcMar>
              <w:top w:w="15" w:type="dxa"/>
              <w:left w:w="15" w:type="dxa"/>
              <w:right w:w="15" w:type="dxa"/>
            </w:tcMar>
            <w:vAlign w:val="bottom"/>
          </w:tcPr>
          <w:p>
            <w:pPr>
              <w:pStyle w:val="23"/>
              <w:bidi w:val="0"/>
              <w:ind w:firstLine="0" w:firstLineChars="0"/>
            </w:pPr>
            <w:r>
              <w:rPr>
                <w:rFonts w:hint="eastAsia"/>
                <w:lang w:val="en-US" w:eastAsia="zh-CN"/>
              </w:rPr>
              <w:t>2.77</w:t>
            </w:r>
          </w:p>
        </w:tc>
        <w:tc>
          <w:tcPr>
            <w:tcW w:w="892" w:type="dxa"/>
            <w:tcBorders>
              <w:tl2br w:val="nil"/>
              <w:tr2bl w:val="nil"/>
            </w:tcBorders>
            <w:shd w:val="clear" w:color="auto" w:fill="auto"/>
            <w:noWrap/>
            <w:tcMar>
              <w:top w:w="15" w:type="dxa"/>
              <w:left w:w="15" w:type="dxa"/>
              <w:right w:w="15" w:type="dxa"/>
            </w:tcMar>
            <w:vAlign w:val="center"/>
          </w:tcPr>
          <w:p>
            <w:pPr>
              <w:pStyle w:val="23"/>
              <w:ind w:firstLine="0" w:firstLineChars="0"/>
            </w:pPr>
            <w:r>
              <w:rPr>
                <w:rFonts w:hint="eastAsia"/>
                <w:lang w:eastAsia="zh-CN"/>
              </w:rPr>
              <w:t>0</w:t>
            </w:r>
          </w:p>
        </w:tc>
        <w:tc>
          <w:tcPr>
            <w:tcW w:w="3698" w:type="dxa"/>
            <w:tcBorders>
              <w:tl2br w:val="nil"/>
              <w:tr2bl w:val="nil"/>
            </w:tcBorders>
            <w:shd w:val="clear" w:color="auto" w:fill="auto"/>
            <w:noWrap/>
            <w:tcMar>
              <w:top w:w="15" w:type="dxa"/>
              <w:left w:w="15" w:type="dxa"/>
              <w:right w:w="15" w:type="dxa"/>
            </w:tcMar>
            <w:vAlign w:val="center"/>
          </w:tcPr>
          <w:p>
            <w:pPr>
              <w:pStyle w:val="23"/>
              <w:ind w:firstLine="0" w:firstLineChars="0"/>
            </w:pPr>
            <w:r>
              <w:rPr>
                <w:rFonts w:hint="eastAsia"/>
                <w:lang w:val="en-US" w:eastAsia="zh-CN"/>
              </w:rPr>
              <w:t>厂房、辅助设施等</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534" w:type="pct"/>
            <w:tcBorders>
              <w:tl2br w:val="nil"/>
              <w:tr2bl w:val="nil"/>
            </w:tcBorders>
            <w:shd w:val="clear" w:color="auto" w:fill="auto"/>
            <w:noWrap/>
            <w:tcMar>
              <w:top w:w="15" w:type="dxa"/>
              <w:left w:w="15" w:type="dxa"/>
              <w:right w:w="15" w:type="dxa"/>
            </w:tcMar>
            <w:vAlign w:val="center"/>
          </w:tcPr>
          <w:p>
            <w:pPr>
              <w:pStyle w:val="23"/>
            </w:pPr>
            <w:r>
              <w:rPr>
                <w:rFonts w:hint="eastAsia"/>
              </w:rPr>
              <w:t>2</w:t>
            </w:r>
          </w:p>
        </w:tc>
        <w:tc>
          <w:tcPr>
            <w:tcW w:w="845" w:type="pct"/>
            <w:tcBorders>
              <w:tl2br w:val="nil"/>
              <w:tr2bl w:val="nil"/>
            </w:tcBorders>
            <w:shd w:val="clear" w:color="auto" w:fill="auto"/>
            <w:noWrap/>
            <w:tcMar>
              <w:top w:w="15" w:type="dxa"/>
              <w:left w:w="15" w:type="dxa"/>
              <w:right w:w="15" w:type="dxa"/>
            </w:tcMar>
            <w:vAlign w:val="center"/>
          </w:tcPr>
          <w:p>
            <w:pPr>
              <w:pStyle w:val="23"/>
            </w:pPr>
            <w:r>
              <w:rPr>
                <w:rFonts w:hint="eastAsia"/>
              </w:rPr>
              <w:t>施工场地区</w:t>
            </w:r>
          </w:p>
        </w:tc>
        <w:tc>
          <w:tcPr>
            <w:tcW w:w="999" w:type="dxa"/>
            <w:tcBorders>
              <w:tl2br w:val="nil"/>
              <w:tr2bl w:val="nil"/>
            </w:tcBorders>
            <w:shd w:val="clear" w:color="auto" w:fill="auto"/>
            <w:noWrap/>
            <w:tcMar>
              <w:top w:w="15" w:type="dxa"/>
              <w:left w:w="15" w:type="dxa"/>
              <w:right w:w="15" w:type="dxa"/>
            </w:tcMar>
            <w:vAlign w:val="bottom"/>
          </w:tcPr>
          <w:p>
            <w:pPr>
              <w:pStyle w:val="23"/>
              <w:bidi w:val="0"/>
              <w:ind w:firstLine="0" w:firstLineChars="0"/>
            </w:pPr>
            <w:r>
              <w:rPr>
                <w:rFonts w:hint="eastAsia"/>
                <w:lang w:val="en-US" w:eastAsia="zh-CN"/>
              </w:rPr>
              <w:t>1.47</w:t>
            </w:r>
          </w:p>
        </w:tc>
        <w:tc>
          <w:tcPr>
            <w:tcW w:w="999" w:type="dxa"/>
            <w:tcBorders>
              <w:tl2br w:val="nil"/>
              <w:tr2bl w:val="nil"/>
            </w:tcBorders>
            <w:shd w:val="clear" w:color="auto" w:fill="auto"/>
            <w:noWrap/>
            <w:tcMar>
              <w:top w:w="15" w:type="dxa"/>
              <w:left w:w="15" w:type="dxa"/>
              <w:right w:w="15" w:type="dxa"/>
            </w:tcMar>
            <w:vAlign w:val="bottom"/>
          </w:tcPr>
          <w:p>
            <w:pPr>
              <w:pStyle w:val="23"/>
              <w:bidi w:val="0"/>
              <w:ind w:firstLine="0" w:firstLineChars="0"/>
            </w:pPr>
            <w:r>
              <w:rPr>
                <w:rFonts w:hint="eastAsia"/>
                <w:lang w:val="en-US" w:eastAsia="zh-CN"/>
              </w:rPr>
              <w:t>1.47</w:t>
            </w:r>
          </w:p>
        </w:tc>
        <w:tc>
          <w:tcPr>
            <w:tcW w:w="892" w:type="dxa"/>
            <w:tcBorders>
              <w:tl2br w:val="nil"/>
              <w:tr2bl w:val="nil"/>
            </w:tcBorders>
            <w:shd w:val="clear" w:color="auto" w:fill="auto"/>
            <w:noWrap/>
            <w:tcMar>
              <w:top w:w="15" w:type="dxa"/>
              <w:left w:w="15" w:type="dxa"/>
              <w:right w:w="15" w:type="dxa"/>
            </w:tcMar>
            <w:vAlign w:val="center"/>
          </w:tcPr>
          <w:p>
            <w:pPr>
              <w:pStyle w:val="23"/>
              <w:ind w:firstLine="0" w:firstLineChars="0"/>
            </w:pPr>
            <w:r>
              <w:rPr>
                <w:rFonts w:hint="eastAsia"/>
                <w:lang w:val="en-US" w:eastAsia="zh-CN"/>
              </w:rPr>
              <w:t>0</w:t>
            </w:r>
          </w:p>
        </w:tc>
        <w:tc>
          <w:tcPr>
            <w:tcW w:w="3698" w:type="dxa"/>
            <w:tcBorders>
              <w:tl2br w:val="nil"/>
              <w:tr2bl w:val="nil"/>
            </w:tcBorders>
            <w:shd w:val="clear" w:color="auto" w:fill="auto"/>
            <w:noWrap/>
            <w:tcMar>
              <w:top w:w="15" w:type="dxa"/>
              <w:left w:w="15" w:type="dxa"/>
              <w:right w:w="15" w:type="dxa"/>
            </w:tcMar>
            <w:vAlign w:val="center"/>
          </w:tcPr>
          <w:p>
            <w:pPr>
              <w:pStyle w:val="23"/>
              <w:ind w:firstLine="0" w:firstLineChars="0"/>
            </w:pPr>
            <w:r>
              <w:rPr>
                <w:rFonts w:hint="eastAsia"/>
                <w:lang w:val="en-US" w:eastAsia="zh-CN"/>
              </w:rPr>
              <w:t>道路、回车场、停车场等</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534" w:type="pct"/>
            <w:tcBorders>
              <w:tl2br w:val="nil"/>
              <w:tr2bl w:val="nil"/>
            </w:tcBorders>
            <w:shd w:val="clear" w:color="auto" w:fill="auto"/>
            <w:noWrap/>
            <w:tcMar>
              <w:top w:w="15" w:type="dxa"/>
              <w:left w:w="15" w:type="dxa"/>
              <w:right w:w="15" w:type="dxa"/>
            </w:tcMar>
            <w:vAlign w:val="center"/>
          </w:tcPr>
          <w:p>
            <w:pPr>
              <w:pStyle w:val="23"/>
            </w:pPr>
            <w:r>
              <w:rPr>
                <w:rFonts w:hint="eastAsia"/>
              </w:rPr>
              <w:t>3</w:t>
            </w:r>
          </w:p>
        </w:tc>
        <w:tc>
          <w:tcPr>
            <w:tcW w:w="845" w:type="pct"/>
            <w:tcBorders>
              <w:tl2br w:val="nil"/>
              <w:tr2bl w:val="nil"/>
            </w:tcBorders>
            <w:shd w:val="clear" w:color="auto" w:fill="auto"/>
            <w:noWrap/>
            <w:tcMar>
              <w:top w:w="15" w:type="dxa"/>
              <w:left w:w="15" w:type="dxa"/>
              <w:right w:w="15" w:type="dxa"/>
            </w:tcMar>
            <w:vAlign w:val="center"/>
          </w:tcPr>
          <w:p>
            <w:pPr>
              <w:pStyle w:val="23"/>
              <w:rPr>
                <w:rFonts w:hint="eastAsia" w:eastAsia="仿宋"/>
                <w:lang w:eastAsia="zh-CN"/>
              </w:rPr>
            </w:pPr>
            <w:r>
              <w:rPr>
                <w:rFonts w:hint="eastAsia"/>
                <w:lang w:eastAsia="zh-CN"/>
              </w:rPr>
              <w:t>绿化防治区</w:t>
            </w:r>
          </w:p>
        </w:tc>
        <w:tc>
          <w:tcPr>
            <w:tcW w:w="999" w:type="dxa"/>
            <w:tcBorders>
              <w:tl2br w:val="nil"/>
              <w:tr2bl w:val="nil"/>
            </w:tcBorders>
            <w:shd w:val="clear" w:color="auto" w:fill="auto"/>
            <w:noWrap/>
            <w:tcMar>
              <w:top w:w="15" w:type="dxa"/>
              <w:left w:w="15" w:type="dxa"/>
              <w:right w:w="15" w:type="dxa"/>
            </w:tcMar>
            <w:vAlign w:val="bottom"/>
          </w:tcPr>
          <w:p>
            <w:pPr>
              <w:pStyle w:val="23"/>
              <w:bidi w:val="0"/>
              <w:ind w:firstLine="0" w:firstLineChars="0"/>
            </w:pPr>
            <w:r>
              <w:rPr>
                <w:rFonts w:hint="eastAsia"/>
                <w:lang w:val="en-US" w:eastAsia="zh-CN"/>
              </w:rPr>
              <w:t>0.21</w:t>
            </w:r>
          </w:p>
        </w:tc>
        <w:tc>
          <w:tcPr>
            <w:tcW w:w="999" w:type="dxa"/>
            <w:tcBorders>
              <w:tl2br w:val="nil"/>
              <w:tr2bl w:val="nil"/>
            </w:tcBorders>
            <w:shd w:val="clear" w:color="auto" w:fill="auto"/>
            <w:noWrap/>
            <w:tcMar>
              <w:top w:w="15" w:type="dxa"/>
              <w:left w:w="15" w:type="dxa"/>
              <w:right w:w="15" w:type="dxa"/>
            </w:tcMar>
            <w:vAlign w:val="bottom"/>
          </w:tcPr>
          <w:p>
            <w:pPr>
              <w:pStyle w:val="23"/>
              <w:bidi w:val="0"/>
              <w:ind w:firstLine="0" w:firstLineChars="0"/>
            </w:pPr>
            <w:r>
              <w:rPr>
                <w:rFonts w:hint="eastAsia"/>
                <w:lang w:val="en-US" w:eastAsia="zh-CN"/>
              </w:rPr>
              <w:t>0.21</w:t>
            </w:r>
          </w:p>
        </w:tc>
        <w:tc>
          <w:tcPr>
            <w:tcW w:w="892" w:type="dxa"/>
            <w:tcBorders>
              <w:tl2br w:val="nil"/>
              <w:tr2bl w:val="nil"/>
            </w:tcBorders>
            <w:shd w:val="clear" w:color="auto" w:fill="auto"/>
            <w:noWrap/>
            <w:tcMar>
              <w:top w:w="15" w:type="dxa"/>
              <w:left w:w="15" w:type="dxa"/>
              <w:right w:w="15" w:type="dxa"/>
            </w:tcMar>
            <w:vAlign w:val="center"/>
          </w:tcPr>
          <w:p>
            <w:pPr>
              <w:pStyle w:val="23"/>
              <w:ind w:firstLine="0" w:firstLineChars="0"/>
            </w:pPr>
            <w:r>
              <w:rPr>
                <w:rFonts w:hint="eastAsia"/>
                <w:lang w:val="en-US" w:eastAsia="zh-CN"/>
              </w:rPr>
              <w:t>0</w:t>
            </w:r>
          </w:p>
        </w:tc>
        <w:tc>
          <w:tcPr>
            <w:tcW w:w="3698" w:type="dxa"/>
            <w:tcBorders>
              <w:tl2br w:val="nil"/>
              <w:tr2bl w:val="nil"/>
            </w:tcBorders>
            <w:shd w:val="clear" w:color="auto" w:fill="auto"/>
            <w:noWrap/>
            <w:tcMar>
              <w:top w:w="15" w:type="dxa"/>
              <w:left w:w="15" w:type="dxa"/>
              <w:right w:w="15" w:type="dxa"/>
            </w:tcMar>
            <w:vAlign w:val="center"/>
          </w:tcPr>
          <w:p>
            <w:pPr>
              <w:pStyle w:val="23"/>
              <w:ind w:firstLine="0" w:firstLineChars="0"/>
            </w:pPr>
            <w:r>
              <w:rPr>
                <w:rFonts w:hint="eastAsia"/>
                <w:lang w:val="en-US" w:eastAsia="zh-CN"/>
              </w:rPr>
              <w:t>景观绿化</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1379" w:type="pct"/>
            <w:gridSpan w:val="2"/>
            <w:tcBorders>
              <w:tl2br w:val="nil"/>
              <w:tr2bl w:val="nil"/>
            </w:tcBorders>
            <w:shd w:val="clear" w:color="auto" w:fill="auto"/>
            <w:noWrap/>
            <w:tcMar>
              <w:top w:w="15" w:type="dxa"/>
              <w:left w:w="15" w:type="dxa"/>
              <w:right w:w="15" w:type="dxa"/>
            </w:tcMar>
            <w:vAlign w:val="center"/>
          </w:tcPr>
          <w:p>
            <w:pPr>
              <w:pStyle w:val="23"/>
            </w:pPr>
            <w:r>
              <w:rPr>
                <w:rFonts w:hint="eastAsia"/>
              </w:rPr>
              <w:t>合计</w:t>
            </w:r>
          </w:p>
        </w:tc>
        <w:tc>
          <w:tcPr>
            <w:tcW w:w="999" w:type="dxa"/>
            <w:tcBorders>
              <w:tl2br w:val="nil"/>
              <w:tr2bl w:val="nil"/>
            </w:tcBorders>
            <w:shd w:val="clear" w:color="auto" w:fill="auto"/>
            <w:noWrap/>
            <w:tcMar>
              <w:top w:w="15" w:type="dxa"/>
              <w:left w:w="15" w:type="dxa"/>
              <w:right w:w="15" w:type="dxa"/>
            </w:tcMar>
            <w:vAlign w:val="center"/>
          </w:tcPr>
          <w:p>
            <w:pPr>
              <w:pStyle w:val="23"/>
              <w:ind w:firstLine="0" w:firstLineChars="0"/>
              <w:rPr>
                <w:rFonts w:hint="eastAsia" w:eastAsia="仿宋"/>
                <w:lang w:eastAsia="zh-CN"/>
              </w:rPr>
            </w:pPr>
            <w:r>
              <w:rPr>
                <w:rFonts w:hint="eastAsia"/>
                <w:lang w:eastAsia="zh-CN"/>
              </w:rPr>
              <w:t>4.45</w:t>
            </w:r>
          </w:p>
        </w:tc>
        <w:tc>
          <w:tcPr>
            <w:tcW w:w="999" w:type="dxa"/>
            <w:tcBorders>
              <w:tl2br w:val="nil"/>
              <w:tr2bl w:val="nil"/>
            </w:tcBorders>
            <w:shd w:val="clear" w:color="auto" w:fill="auto"/>
            <w:noWrap/>
            <w:tcMar>
              <w:top w:w="15" w:type="dxa"/>
              <w:left w:w="15" w:type="dxa"/>
              <w:right w:w="15" w:type="dxa"/>
            </w:tcMar>
            <w:vAlign w:val="center"/>
          </w:tcPr>
          <w:p>
            <w:pPr>
              <w:pStyle w:val="23"/>
              <w:ind w:firstLine="0" w:firstLineChars="0"/>
              <w:rPr>
                <w:rFonts w:hint="eastAsia" w:eastAsia="仿宋"/>
                <w:lang w:eastAsia="zh-CN"/>
              </w:rPr>
            </w:pPr>
            <w:r>
              <w:rPr>
                <w:rFonts w:hint="eastAsia"/>
                <w:lang w:eastAsia="zh-CN"/>
              </w:rPr>
              <w:t>4.45</w:t>
            </w:r>
          </w:p>
        </w:tc>
        <w:tc>
          <w:tcPr>
            <w:tcW w:w="892" w:type="dxa"/>
            <w:tcBorders>
              <w:tl2br w:val="nil"/>
              <w:tr2bl w:val="nil"/>
            </w:tcBorders>
            <w:shd w:val="clear" w:color="auto" w:fill="auto"/>
            <w:noWrap/>
            <w:tcMar>
              <w:top w:w="15" w:type="dxa"/>
              <w:left w:w="15" w:type="dxa"/>
              <w:right w:w="15" w:type="dxa"/>
            </w:tcMar>
            <w:vAlign w:val="center"/>
          </w:tcPr>
          <w:p>
            <w:pPr>
              <w:pStyle w:val="23"/>
              <w:ind w:firstLine="0" w:firstLineChars="0"/>
            </w:pPr>
            <w:r>
              <w:rPr>
                <w:rFonts w:hint="eastAsia"/>
                <w:lang w:val="en-US" w:eastAsia="zh-CN"/>
              </w:rPr>
              <w:t>0</w:t>
            </w:r>
          </w:p>
        </w:tc>
        <w:tc>
          <w:tcPr>
            <w:tcW w:w="3698" w:type="dxa"/>
            <w:tcBorders>
              <w:tl2br w:val="nil"/>
              <w:tr2bl w:val="nil"/>
            </w:tcBorders>
            <w:shd w:val="clear" w:color="auto" w:fill="auto"/>
            <w:noWrap/>
            <w:tcMar>
              <w:top w:w="15" w:type="dxa"/>
              <w:left w:w="15" w:type="dxa"/>
              <w:right w:w="15" w:type="dxa"/>
            </w:tcMar>
            <w:vAlign w:val="center"/>
          </w:tcPr>
          <w:p>
            <w:pPr>
              <w:pStyle w:val="23"/>
              <w:ind w:firstLine="0" w:firstLineChars="0"/>
            </w:pPr>
          </w:p>
        </w:tc>
      </w:tr>
    </w:tbl>
    <w:p>
      <w:pPr>
        <w:ind w:firstLine="480"/>
        <w:rPr>
          <w:rFonts w:cs="Times New Roman"/>
        </w:rPr>
      </w:pPr>
      <w:r>
        <w:rPr>
          <w:rFonts w:cs="Times New Roman"/>
        </w:rPr>
        <w:t>（2）根据现场查勘及资料分析结合施工期间资料，工程实际扰动范围</w:t>
      </w:r>
      <w:r>
        <w:rPr>
          <w:rFonts w:hint="eastAsia" w:cs="Times New Roman"/>
          <w:lang w:eastAsia="zh-CN"/>
        </w:rPr>
        <w:t>4.45</w:t>
      </w:r>
      <w:r>
        <w:rPr>
          <w:rFonts w:cs="Times New Roman"/>
        </w:rPr>
        <w:t>hm</w:t>
      </w:r>
      <w:r>
        <w:rPr>
          <w:rFonts w:cs="Times New Roman"/>
          <w:vertAlign w:val="superscript"/>
        </w:rPr>
        <w:t>2</w:t>
      </w:r>
      <w:r>
        <w:rPr>
          <w:rFonts w:cs="Times New Roman"/>
        </w:rPr>
        <w:t>，</w:t>
      </w:r>
      <w:r>
        <w:rPr>
          <w:rFonts w:hint="eastAsia" w:cs="Times New Roman"/>
        </w:rPr>
        <w:t>均为项目建设区</w:t>
      </w:r>
      <w:r>
        <w:rPr>
          <w:rFonts w:cs="Times New Roman"/>
        </w:rPr>
        <w:t>。本工程实际水土流失防治责任范围详见表3.1-2。</w:t>
      </w:r>
    </w:p>
    <w:p>
      <w:pPr>
        <w:pStyle w:val="24"/>
        <w:rPr>
          <w:rFonts w:cs="Times New Roman"/>
        </w:rPr>
      </w:pPr>
      <w:r>
        <w:rPr>
          <w:rFonts w:cs="Times New Roman"/>
        </w:rPr>
        <w:t>表3.1-2  工程实际水土流失防治责任范围情况表</w:t>
      </w:r>
    </w:p>
    <w:tbl>
      <w:tblPr>
        <w:tblStyle w:val="13"/>
        <w:tblW w:w="4998"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1256"/>
        <w:gridCol w:w="1532"/>
        <w:gridCol w:w="1063"/>
        <w:gridCol w:w="1063"/>
        <w:gridCol w:w="781"/>
        <w:gridCol w:w="3401"/>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691" w:type="pct"/>
            <w:tcBorders>
              <w:tl2br w:val="nil"/>
              <w:tr2bl w:val="nil"/>
            </w:tcBorders>
            <w:shd w:val="clear" w:color="auto" w:fill="auto"/>
            <w:noWrap/>
            <w:tcMar>
              <w:top w:w="15" w:type="dxa"/>
              <w:left w:w="15" w:type="dxa"/>
              <w:right w:w="15" w:type="dxa"/>
            </w:tcMar>
            <w:vAlign w:val="center"/>
          </w:tcPr>
          <w:p>
            <w:pPr>
              <w:pStyle w:val="23"/>
            </w:pPr>
            <w:r>
              <w:rPr>
                <w:rFonts w:hint="eastAsia"/>
              </w:rPr>
              <w:t>序号</w:t>
            </w:r>
          </w:p>
        </w:tc>
        <w:tc>
          <w:tcPr>
            <w:tcW w:w="841" w:type="pct"/>
            <w:tcBorders>
              <w:tl2br w:val="nil"/>
              <w:tr2bl w:val="nil"/>
            </w:tcBorders>
            <w:shd w:val="clear" w:color="auto" w:fill="auto"/>
            <w:tcMar>
              <w:top w:w="15" w:type="dxa"/>
              <w:left w:w="15" w:type="dxa"/>
              <w:right w:w="15" w:type="dxa"/>
            </w:tcMar>
            <w:vAlign w:val="center"/>
          </w:tcPr>
          <w:p>
            <w:pPr>
              <w:pStyle w:val="23"/>
            </w:pPr>
            <w:r>
              <w:rPr>
                <w:rFonts w:hint="eastAsia"/>
              </w:rPr>
              <w:t>防治分区</w:t>
            </w:r>
          </w:p>
        </w:tc>
        <w:tc>
          <w:tcPr>
            <w:tcW w:w="584" w:type="pct"/>
            <w:tcBorders>
              <w:tl2br w:val="nil"/>
              <w:tr2bl w:val="nil"/>
            </w:tcBorders>
            <w:shd w:val="clear" w:color="auto" w:fill="auto"/>
            <w:tcMar>
              <w:top w:w="15" w:type="dxa"/>
              <w:left w:w="15" w:type="dxa"/>
              <w:right w:w="15" w:type="dxa"/>
            </w:tcMar>
            <w:vAlign w:val="center"/>
          </w:tcPr>
          <w:p>
            <w:pPr>
              <w:pStyle w:val="23"/>
            </w:pPr>
            <w:r>
              <w:rPr>
                <w:rFonts w:hint="eastAsia"/>
              </w:rPr>
              <w:t>防治责任范围（hm</w:t>
            </w:r>
            <w:r>
              <w:t>²</w:t>
            </w:r>
            <w:r>
              <w:rPr>
                <w:rFonts w:hint="eastAsia"/>
              </w:rPr>
              <w:t>）</w:t>
            </w:r>
          </w:p>
        </w:tc>
        <w:tc>
          <w:tcPr>
            <w:tcW w:w="584" w:type="pct"/>
            <w:tcBorders>
              <w:tl2br w:val="nil"/>
              <w:tr2bl w:val="nil"/>
            </w:tcBorders>
            <w:shd w:val="clear" w:color="auto" w:fill="auto"/>
            <w:tcMar>
              <w:top w:w="15" w:type="dxa"/>
              <w:left w:w="15" w:type="dxa"/>
              <w:right w:w="15" w:type="dxa"/>
            </w:tcMar>
            <w:vAlign w:val="center"/>
          </w:tcPr>
          <w:p>
            <w:pPr>
              <w:pStyle w:val="23"/>
            </w:pPr>
            <w:r>
              <w:rPr>
                <w:rFonts w:hint="eastAsia"/>
              </w:rPr>
              <w:t>项目建设区面积（hm</w:t>
            </w:r>
            <w:r>
              <w:t>²</w:t>
            </w:r>
            <w:r>
              <w:rPr>
                <w:rFonts w:hint="eastAsia"/>
              </w:rPr>
              <w:t>）</w:t>
            </w:r>
          </w:p>
        </w:tc>
        <w:tc>
          <w:tcPr>
            <w:tcW w:w="429" w:type="pct"/>
            <w:tcBorders>
              <w:tl2br w:val="nil"/>
              <w:tr2bl w:val="nil"/>
            </w:tcBorders>
            <w:shd w:val="clear" w:color="auto" w:fill="auto"/>
            <w:tcMar>
              <w:top w:w="15" w:type="dxa"/>
              <w:left w:w="15" w:type="dxa"/>
              <w:right w:w="15" w:type="dxa"/>
            </w:tcMar>
            <w:vAlign w:val="center"/>
          </w:tcPr>
          <w:p>
            <w:pPr>
              <w:pStyle w:val="23"/>
            </w:pPr>
            <w:r>
              <w:rPr>
                <w:rFonts w:hint="eastAsia"/>
              </w:rPr>
              <w:t>直接影响区（hm²）</w:t>
            </w:r>
          </w:p>
        </w:tc>
        <w:tc>
          <w:tcPr>
            <w:tcW w:w="1869" w:type="pct"/>
            <w:tcBorders>
              <w:tl2br w:val="nil"/>
              <w:tr2bl w:val="nil"/>
            </w:tcBorders>
            <w:shd w:val="clear" w:color="auto" w:fill="auto"/>
            <w:tcMar>
              <w:top w:w="15" w:type="dxa"/>
              <w:left w:w="15" w:type="dxa"/>
              <w:right w:w="15" w:type="dxa"/>
            </w:tcMar>
            <w:vAlign w:val="center"/>
          </w:tcPr>
          <w:p>
            <w:pPr>
              <w:pStyle w:val="23"/>
            </w:pPr>
            <w:r>
              <w:rPr>
                <w:rFonts w:hint="eastAsia"/>
              </w:rPr>
              <w:t>防治对象</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691" w:type="pct"/>
            <w:tcBorders>
              <w:tl2br w:val="nil"/>
              <w:tr2bl w:val="nil"/>
            </w:tcBorders>
            <w:shd w:val="clear" w:color="auto" w:fill="auto"/>
            <w:noWrap/>
            <w:tcMar>
              <w:top w:w="15" w:type="dxa"/>
              <w:left w:w="15" w:type="dxa"/>
              <w:right w:w="15" w:type="dxa"/>
            </w:tcMar>
            <w:vAlign w:val="center"/>
          </w:tcPr>
          <w:p>
            <w:pPr>
              <w:pStyle w:val="23"/>
            </w:pPr>
            <w:r>
              <w:rPr>
                <w:rFonts w:hint="eastAsia"/>
              </w:rPr>
              <w:t>1</w:t>
            </w:r>
          </w:p>
        </w:tc>
        <w:tc>
          <w:tcPr>
            <w:tcW w:w="841" w:type="pct"/>
            <w:tcBorders>
              <w:tl2br w:val="nil"/>
              <w:tr2bl w:val="nil"/>
            </w:tcBorders>
            <w:shd w:val="clear" w:color="auto" w:fill="auto"/>
            <w:noWrap/>
            <w:tcMar>
              <w:top w:w="15" w:type="dxa"/>
              <w:left w:w="15" w:type="dxa"/>
              <w:right w:w="15" w:type="dxa"/>
            </w:tcMar>
            <w:vAlign w:val="center"/>
          </w:tcPr>
          <w:p>
            <w:pPr>
              <w:pStyle w:val="23"/>
            </w:pPr>
            <w:r>
              <w:rPr>
                <w:rFonts w:hint="eastAsia"/>
              </w:rPr>
              <w:t>主体工程区</w:t>
            </w:r>
          </w:p>
        </w:tc>
        <w:tc>
          <w:tcPr>
            <w:tcW w:w="1063" w:type="dxa"/>
            <w:tcBorders>
              <w:tl2br w:val="nil"/>
              <w:tr2bl w:val="nil"/>
            </w:tcBorders>
            <w:shd w:val="clear" w:color="auto" w:fill="auto"/>
            <w:noWrap/>
            <w:tcMar>
              <w:top w:w="15" w:type="dxa"/>
              <w:left w:w="15" w:type="dxa"/>
              <w:right w:w="15" w:type="dxa"/>
            </w:tcMar>
            <w:vAlign w:val="bottom"/>
          </w:tcPr>
          <w:p>
            <w:pPr>
              <w:pStyle w:val="23"/>
              <w:bidi w:val="0"/>
              <w:ind w:firstLine="0" w:firstLineChars="0"/>
            </w:pPr>
            <w:r>
              <w:rPr>
                <w:rFonts w:hint="eastAsia"/>
                <w:lang w:val="en-US" w:eastAsia="zh-CN"/>
              </w:rPr>
              <w:t>2.77</w:t>
            </w:r>
          </w:p>
        </w:tc>
        <w:tc>
          <w:tcPr>
            <w:tcW w:w="1062" w:type="dxa"/>
            <w:tcBorders>
              <w:tl2br w:val="nil"/>
              <w:tr2bl w:val="nil"/>
            </w:tcBorders>
            <w:shd w:val="clear" w:color="auto" w:fill="auto"/>
            <w:noWrap/>
            <w:tcMar>
              <w:top w:w="15" w:type="dxa"/>
              <w:left w:w="15" w:type="dxa"/>
              <w:right w:w="15" w:type="dxa"/>
            </w:tcMar>
            <w:vAlign w:val="bottom"/>
          </w:tcPr>
          <w:p>
            <w:pPr>
              <w:pStyle w:val="23"/>
              <w:bidi w:val="0"/>
              <w:ind w:firstLine="0" w:firstLineChars="0"/>
            </w:pPr>
            <w:r>
              <w:rPr>
                <w:rFonts w:hint="eastAsia"/>
                <w:lang w:val="en-US" w:eastAsia="zh-CN"/>
              </w:rPr>
              <w:t>2.77</w:t>
            </w:r>
          </w:p>
        </w:tc>
        <w:tc>
          <w:tcPr>
            <w:tcW w:w="780" w:type="dxa"/>
            <w:tcBorders>
              <w:tl2br w:val="nil"/>
              <w:tr2bl w:val="nil"/>
            </w:tcBorders>
            <w:shd w:val="clear" w:color="auto" w:fill="auto"/>
            <w:noWrap/>
            <w:tcMar>
              <w:top w:w="15" w:type="dxa"/>
              <w:left w:w="15" w:type="dxa"/>
              <w:right w:w="15" w:type="dxa"/>
            </w:tcMar>
            <w:vAlign w:val="center"/>
          </w:tcPr>
          <w:p>
            <w:pPr>
              <w:pStyle w:val="23"/>
              <w:ind w:firstLine="0" w:firstLineChars="0"/>
            </w:pPr>
            <w:r>
              <w:rPr>
                <w:rFonts w:hint="eastAsia"/>
                <w:lang w:eastAsia="zh-CN"/>
              </w:rPr>
              <w:t>0</w:t>
            </w:r>
          </w:p>
        </w:tc>
        <w:tc>
          <w:tcPr>
            <w:tcW w:w="3400" w:type="dxa"/>
            <w:tcBorders>
              <w:tl2br w:val="nil"/>
              <w:tr2bl w:val="nil"/>
            </w:tcBorders>
            <w:shd w:val="clear" w:color="auto" w:fill="auto"/>
            <w:noWrap/>
            <w:tcMar>
              <w:top w:w="15" w:type="dxa"/>
              <w:left w:w="15" w:type="dxa"/>
              <w:right w:w="15" w:type="dxa"/>
            </w:tcMar>
            <w:vAlign w:val="center"/>
          </w:tcPr>
          <w:p>
            <w:pPr>
              <w:pStyle w:val="23"/>
              <w:ind w:firstLine="0" w:firstLineChars="0"/>
            </w:pPr>
            <w:r>
              <w:rPr>
                <w:rFonts w:hint="eastAsia"/>
                <w:lang w:val="en-US" w:eastAsia="zh-CN"/>
              </w:rPr>
              <w:t>厂房、辅助设施等</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691" w:type="pct"/>
            <w:tcBorders>
              <w:tl2br w:val="nil"/>
              <w:tr2bl w:val="nil"/>
            </w:tcBorders>
            <w:shd w:val="clear" w:color="auto" w:fill="auto"/>
            <w:noWrap/>
            <w:tcMar>
              <w:top w:w="15" w:type="dxa"/>
              <w:left w:w="15" w:type="dxa"/>
              <w:right w:w="15" w:type="dxa"/>
            </w:tcMar>
            <w:vAlign w:val="center"/>
          </w:tcPr>
          <w:p>
            <w:pPr>
              <w:pStyle w:val="23"/>
            </w:pPr>
            <w:r>
              <w:rPr>
                <w:rFonts w:hint="eastAsia"/>
              </w:rPr>
              <w:t>2</w:t>
            </w:r>
          </w:p>
        </w:tc>
        <w:tc>
          <w:tcPr>
            <w:tcW w:w="841" w:type="pct"/>
            <w:tcBorders>
              <w:tl2br w:val="nil"/>
              <w:tr2bl w:val="nil"/>
            </w:tcBorders>
            <w:shd w:val="clear" w:color="auto" w:fill="auto"/>
            <w:noWrap/>
            <w:tcMar>
              <w:top w:w="15" w:type="dxa"/>
              <w:left w:w="15" w:type="dxa"/>
              <w:right w:w="15" w:type="dxa"/>
            </w:tcMar>
            <w:vAlign w:val="center"/>
          </w:tcPr>
          <w:p>
            <w:pPr>
              <w:pStyle w:val="23"/>
            </w:pPr>
            <w:r>
              <w:rPr>
                <w:rFonts w:hint="eastAsia"/>
              </w:rPr>
              <w:t>施工场地区</w:t>
            </w:r>
          </w:p>
        </w:tc>
        <w:tc>
          <w:tcPr>
            <w:tcW w:w="1063" w:type="dxa"/>
            <w:tcBorders>
              <w:tl2br w:val="nil"/>
              <w:tr2bl w:val="nil"/>
            </w:tcBorders>
            <w:shd w:val="clear" w:color="auto" w:fill="auto"/>
            <w:noWrap/>
            <w:tcMar>
              <w:top w:w="15" w:type="dxa"/>
              <w:left w:w="15" w:type="dxa"/>
              <w:right w:w="15" w:type="dxa"/>
            </w:tcMar>
            <w:vAlign w:val="bottom"/>
          </w:tcPr>
          <w:p>
            <w:pPr>
              <w:pStyle w:val="23"/>
              <w:bidi w:val="0"/>
              <w:ind w:firstLine="0" w:firstLineChars="0"/>
            </w:pPr>
            <w:r>
              <w:rPr>
                <w:rFonts w:hint="eastAsia"/>
                <w:lang w:val="en-US" w:eastAsia="zh-CN"/>
              </w:rPr>
              <w:t>1.47</w:t>
            </w:r>
          </w:p>
        </w:tc>
        <w:tc>
          <w:tcPr>
            <w:tcW w:w="1062" w:type="dxa"/>
            <w:tcBorders>
              <w:tl2br w:val="nil"/>
              <w:tr2bl w:val="nil"/>
            </w:tcBorders>
            <w:shd w:val="clear" w:color="auto" w:fill="auto"/>
            <w:noWrap/>
            <w:tcMar>
              <w:top w:w="15" w:type="dxa"/>
              <w:left w:w="15" w:type="dxa"/>
              <w:right w:w="15" w:type="dxa"/>
            </w:tcMar>
            <w:vAlign w:val="bottom"/>
          </w:tcPr>
          <w:p>
            <w:pPr>
              <w:pStyle w:val="23"/>
              <w:bidi w:val="0"/>
              <w:ind w:firstLine="0" w:firstLineChars="0"/>
            </w:pPr>
            <w:r>
              <w:rPr>
                <w:rFonts w:hint="eastAsia"/>
                <w:lang w:val="en-US" w:eastAsia="zh-CN"/>
              </w:rPr>
              <w:t>1.47</w:t>
            </w:r>
          </w:p>
        </w:tc>
        <w:tc>
          <w:tcPr>
            <w:tcW w:w="780" w:type="dxa"/>
            <w:tcBorders>
              <w:tl2br w:val="nil"/>
              <w:tr2bl w:val="nil"/>
            </w:tcBorders>
            <w:shd w:val="clear" w:color="auto" w:fill="auto"/>
            <w:noWrap/>
            <w:tcMar>
              <w:top w:w="15" w:type="dxa"/>
              <w:left w:w="15" w:type="dxa"/>
              <w:right w:w="15" w:type="dxa"/>
            </w:tcMar>
            <w:vAlign w:val="center"/>
          </w:tcPr>
          <w:p>
            <w:pPr>
              <w:pStyle w:val="23"/>
              <w:ind w:firstLine="0" w:firstLineChars="0"/>
            </w:pPr>
            <w:r>
              <w:rPr>
                <w:rFonts w:hint="eastAsia"/>
                <w:lang w:val="en-US" w:eastAsia="zh-CN"/>
              </w:rPr>
              <w:t>0</w:t>
            </w:r>
          </w:p>
        </w:tc>
        <w:tc>
          <w:tcPr>
            <w:tcW w:w="3400" w:type="dxa"/>
            <w:tcBorders>
              <w:tl2br w:val="nil"/>
              <w:tr2bl w:val="nil"/>
            </w:tcBorders>
            <w:shd w:val="clear" w:color="auto" w:fill="auto"/>
            <w:noWrap/>
            <w:tcMar>
              <w:top w:w="15" w:type="dxa"/>
              <w:left w:w="15" w:type="dxa"/>
              <w:right w:w="15" w:type="dxa"/>
            </w:tcMar>
            <w:vAlign w:val="center"/>
          </w:tcPr>
          <w:p>
            <w:pPr>
              <w:pStyle w:val="23"/>
              <w:ind w:firstLine="0" w:firstLineChars="0"/>
            </w:pPr>
            <w:r>
              <w:rPr>
                <w:rFonts w:hint="eastAsia"/>
                <w:lang w:val="en-US" w:eastAsia="zh-CN"/>
              </w:rPr>
              <w:t>道路、回车场、停车场等</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691" w:type="pct"/>
            <w:tcBorders>
              <w:tl2br w:val="nil"/>
              <w:tr2bl w:val="nil"/>
            </w:tcBorders>
            <w:shd w:val="clear" w:color="auto" w:fill="auto"/>
            <w:noWrap/>
            <w:tcMar>
              <w:top w:w="15" w:type="dxa"/>
              <w:left w:w="15" w:type="dxa"/>
              <w:right w:w="15" w:type="dxa"/>
            </w:tcMar>
            <w:vAlign w:val="center"/>
          </w:tcPr>
          <w:p>
            <w:pPr>
              <w:pStyle w:val="23"/>
            </w:pPr>
            <w:r>
              <w:rPr>
                <w:rFonts w:hint="eastAsia"/>
              </w:rPr>
              <w:t>3</w:t>
            </w:r>
          </w:p>
        </w:tc>
        <w:tc>
          <w:tcPr>
            <w:tcW w:w="841" w:type="pct"/>
            <w:tcBorders>
              <w:tl2br w:val="nil"/>
              <w:tr2bl w:val="nil"/>
            </w:tcBorders>
            <w:shd w:val="clear" w:color="auto" w:fill="auto"/>
            <w:noWrap/>
            <w:tcMar>
              <w:top w:w="15" w:type="dxa"/>
              <w:left w:w="15" w:type="dxa"/>
              <w:right w:w="15" w:type="dxa"/>
            </w:tcMar>
            <w:vAlign w:val="center"/>
          </w:tcPr>
          <w:p>
            <w:pPr>
              <w:pStyle w:val="23"/>
            </w:pPr>
            <w:r>
              <w:rPr>
                <w:rFonts w:hint="eastAsia"/>
              </w:rPr>
              <w:t>弃渣场</w:t>
            </w:r>
          </w:p>
        </w:tc>
        <w:tc>
          <w:tcPr>
            <w:tcW w:w="1063" w:type="dxa"/>
            <w:tcBorders>
              <w:tl2br w:val="nil"/>
              <w:tr2bl w:val="nil"/>
            </w:tcBorders>
            <w:shd w:val="clear" w:color="auto" w:fill="auto"/>
            <w:noWrap/>
            <w:tcMar>
              <w:top w:w="15" w:type="dxa"/>
              <w:left w:w="15" w:type="dxa"/>
              <w:right w:w="15" w:type="dxa"/>
            </w:tcMar>
            <w:vAlign w:val="bottom"/>
          </w:tcPr>
          <w:p>
            <w:pPr>
              <w:pStyle w:val="23"/>
              <w:bidi w:val="0"/>
              <w:ind w:firstLine="0" w:firstLineChars="0"/>
            </w:pPr>
            <w:r>
              <w:rPr>
                <w:rFonts w:hint="eastAsia"/>
                <w:lang w:val="en-US" w:eastAsia="zh-CN"/>
              </w:rPr>
              <w:t>0.21</w:t>
            </w:r>
          </w:p>
        </w:tc>
        <w:tc>
          <w:tcPr>
            <w:tcW w:w="1062" w:type="dxa"/>
            <w:tcBorders>
              <w:tl2br w:val="nil"/>
              <w:tr2bl w:val="nil"/>
            </w:tcBorders>
            <w:shd w:val="clear" w:color="auto" w:fill="auto"/>
            <w:noWrap/>
            <w:tcMar>
              <w:top w:w="15" w:type="dxa"/>
              <w:left w:w="15" w:type="dxa"/>
              <w:right w:w="15" w:type="dxa"/>
            </w:tcMar>
            <w:vAlign w:val="bottom"/>
          </w:tcPr>
          <w:p>
            <w:pPr>
              <w:pStyle w:val="23"/>
              <w:bidi w:val="0"/>
              <w:ind w:firstLine="0" w:firstLineChars="0"/>
            </w:pPr>
            <w:r>
              <w:rPr>
                <w:rFonts w:hint="eastAsia"/>
                <w:lang w:val="en-US" w:eastAsia="zh-CN"/>
              </w:rPr>
              <w:t>0.21</w:t>
            </w:r>
          </w:p>
        </w:tc>
        <w:tc>
          <w:tcPr>
            <w:tcW w:w="780" w:type="dxa"/>
            <w:tcBorders>
              <w:tl2br w:val="nil"/>
              <w:tr2bl w:val="nil"/>
            </w:tcBorders>
            <w:shd w:val="clear" w:color="auto" w:fill="auto"/>
            <w:noWrap/>
            <w:tcMar>
              <w:top w:w="15" w:type="dxa"/>
              <w:left w:w="15" w:type="dxa"/>
              <w:right w:w="15" w:type="dxa"/>
            </w:tcMar>
            <w:vAlign w:val="center"/>
          </w:tcPr>
          <w:p>
            <w:pPr>
              <w:pStyle w:val="23"/>
              <w:ind w:firstLine="0" w:firstLineChars="0"/>
            </w:pPr>
            <w:r>
              <w:rPr>
                <w:rFonts w:hint="eastAsia"/>
                <w:lang w:val="en-US" w:eastAsia="zh-CN"/>
              </w:rPr>
              <w:t>0</w:t>
            </w:r>
          </w:p>
        </w:tc>
        <w:tc>
          <w:tcPr>
            <w:tcW w:w="3400" w:type="dxa"/>
            <w:tcBorders>
              <w:tl2br w:val="nil"/>
              <w:tr2bl w:val="nil"/>
            </w:tcBorders>
            <w:shd w:val="clear" w:color="auto" w:fill="auto"/>
            <w:noWrap/>
            <w:tcMar>
              <w:top w:w="15" w:type="dxa"/>
              <w:left w:w="15" w:type="dxa"/>
              <w:right w:w="15" w:type="dxa"/>
            </w:tcMar>
            <w:vAlign w:val="center"/>
          </w:tcPr>
          <w:p>
            <w:pPr>
              <w:pStyle w:val="23"/>
              <w:ind w:firstLine="0" w:firstLineChars="0"/>
            </w:pPr>
            <w:r>
              <w:rPr>
                <w:rFonts w:hint="eastAsia"/>
                <w:lang w:val="en-US" w:eastAsia="zh-CN"/>
              </w:rPr>
              <w:t>景观绿化</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1533" w:type="pct"/>
            <w:gridSpan w:val="2"/>
            <w:tcBorders>
              <w:tl2br w:val="nil"/>
              <w:tr2bl w:val="nil"/>
            </w:tcBorders>
            <w:shd w:val="clear" w:color="auto" w:fill="auto"/>
            <w:noWrap/>
            <w:tcMar>
              <w:top w:w="15" w:type="dxa"/>
              <w:left w:w="15" w:type="dxa"/>
              <w:right w:w="15" w:type="dxa"/>
            </w:tcMar>
            <w:vAlign w:val="center"/>
          </w:tcPr>
          <w:p>
            <w:pPr>
              <w:pStyle w:val="23"/>
            </w:pPr>
            <w:r>
              <w:rPr>
                <w:rFonts w:hint="eastAsia"/>
              </w:rPr>
              <w:t>合计</w:t>
            </w:r>
          </w:p>
        </w:tc>
        <w:tc>
          <w:tcPr>
            <w:tcW w:w="1063" w:type="dxa"/>
            <w:tcBorders>
              <w:tl2br w:val="nil"/>
              <w:tr2bl w:val="nil"/>
            </w:tcBorders>
            <w:shd w:val="clear" w:color="auto" w:fill="auto"/>
            <w:noWrap/>
            <w:tcMar>
              <w:top w:w="15" w:type="dxa"/>
              <w:left w:w="15" w:type="dxa"/>
              <w:right w:w="15" w:type="dxa"/>
            </w:tcMar>
            <w:vAlign w:val="center"/>
          </w:tcPr>
          <w:p>
            <w:pPr>
              <w:pStyle w:val="23"/>
              <w:ind w:firstLine="0" w:firstLineChars="0"/>
              <w:rPr>
                <w:rFonts w:hint="eastAsia" w:eastAsia="仿宋"/>
                <w:lang w:eastAsia="zh-CN"/>
              </w:rPr>
            </w:pPr>
            <w:r>
              <w:rPr>
                <w:rFonts w:hint="eastAsia"/>
                <w:lang w:eastAsia="zh-CN"/>
              </w:rPr>
              <w:t>4.45</w:t>
            </w:r>
          </w:p>
        </w:tc>
        <w:tc>
          <w:tcPr>
            <w:tcW w:w="1062" w:type="dxa"/>
            <w:tcBorders>
              <w:tl2br w:val="nil"/>
              <w:tr2bl w:val="nil"/>
            </w:tcBorders>
            <w:shd w:val="clear" w:color="auto" w:fill="auto"/>
            <w:noWrap/>
            <w:tcMar>
              <w:top w:w="15" w:type="dxa"/>
              <w:left w:w="15" w:type="dxa"/>
              <w:right w:w="15" w:type="dxa"/>
            </w:tcMar>
            <w:vAlign w:val="center"/>
          </w:tcPr>
          <w:p>
            <w:pPr>
              <w:pStyle w:val="23"/>
              <w:ind w:firstLine="0" w:firstLineChars="0"/>
              <w:rPr>
                <w:rFonts w:hint="eastAsia" w:eastAsia="仿宋"/>
                <w:lang w:eastAsia="zh-CN"/>
              </w:rPr>
            </w:pPr>
            <w:r>
              <w:rPr>
                <w:rFonts w:hint="eastAsia"/>
                <w:lang w:eastAsia="zh-CN"/>
              </w:rPr>
              <w:t>4.45</w:t>
            </w:r>
          </w:p>
        </w:tc>
        <w:tc>
          <w:tcPr>
            <w:tcW w:w="780" w:type="dxa"/>
            <w:tcBorders>
              <w:tl2br w:val="nil"/>
              <w:tr2bl w:val="nil"/>
            </w:tcBorders>
            <w:shd w:val="clear" w:color="auto" w:fill="auto"/>
            <w:noWrap/>
            <w:tcMar>
              <w:top w:w="15" w:type="dxa"/>
              <w:left w:w="15" w:type="dxa"/>
              <w:right w:w="15" w:type="dxa"/>
            </w:tcMar>
            <w:vAlign w:val="center"/>
          </w:tcPr>
          <w:p>
            <w:pPr>
              <w:pStyle w:val="23"/>
              <w:ind w:firstLine="0" w:firstLineChars="0"/>
            </w:pPr>
            <w:r>
              <w:rPr>
                <w:rFonts w:hint="eastAsia"/>
                <w:lang w:val="en-US" w:eastAsia="zh-CN"/>
              </w:rPr>
              <w:t>0</w:t>
            </w:r>
          </w:p>
        </w:tc>
        <w:tc>
          <w:tcPr>
            <w:tcW w:w="3400" w:type="dxa"/>
            <w:tcBorders>
              <w:tl2br w:val="nil"/>
              <w:tr2bl w:val="nil"/>
            </w:tcBorders>
            <w:shd w:val="clear" w:color="auto" w:fill="auto"/>
            <w:noWrap/>
            <w:tcMar>
              <w:top w:w="15" w:type="dxa"/>
              <w:left w:w="15" w:type="dxa"/>
              <w:right w:w="15" w:type="dxa"/>
            </w:tcMar>
            <w:vAlign w:val="center"/>
          </w:tcPr>
          <w:p>
            <w:pPr>
              <w:pStyle w:val="23"/>
              <w:ind w:firstLine="0" w:firstLineChars="0"/>
            </w:pPr>
          </w:p>
        </w:tc>
      </w:tr>
    </w:tbl>
    <w:p>
      <w:pPr>
        <w:ind w:firstLine="480"/>
        <w:rPr>
          <w:rFonts w:cs="Times New Roman"/>
        </w:rPr>
      </w:pPr>
      <w:r>
        <w:rPr>
          <w:rFonts w:hint="eastAsia" w:cs="Times New Roman"/>
        </w:rPr>
        <w:t>验收后</w:t>
      </w:r>
      <w:r>
        <w:rPr>
          <w:rFonts w:cs="Times New Roman"/>
        </w:rPr>
        <w:t>水土流失防治责任范围变化对比表见3.1-</w:t>
      </w:r>
      <w:r>
        <w:rPr>
          <w:rFonts w:hint="eastAsia" w:cs="Times New Roman"/>
        </w:rPr>
        <w:t>3</w:t>
      </w:r>
      <w:r>
        <w:rPr>
          <w:rFonts w:cs="Times New Roman"/>
        </w:rPr>
        <w:t>。</w:t>
      </w:r>
    </w:p>
    <w:p>
      <w:pPr>
        <w:pStyle w:val="24"/>
        <w:rPr>
          <w:rFonts w:cs="Times New Roman"/>
        </w:rPr>
      </w:pPr>
      <w:r>
        <w:rPr>
          <w:rFonts w:cs="Times New Roman"/>
        </w:rPr>
        <w:t>表3.1-3各阶段水土流失防治责任范围对比表</w:t>
      </w:r>
      <w:r>
        <w:rPr>
          <w:rFonts w:hint="eastAsia" w:cs="Times New Roman"/>
        </w:rPr>
        <w:t xml:space="preserve">   </w:t>
      </w:r>
      <w:r>
        <w:rPr>
          <w:rFonts w:hint="eastAsia"/>
        </w:rPr>
        <w:t>（单位：hm</w:t>
      </w:r>
      <w:r>
        <w:rPr>
          <w:rFonts w:hint="eastAsia"/>
          <w:vertAlign w:val="superscript"/>
        </w:rPr>
        <w:t>2</w:t>
      </w:r>
      <w:r>
        <w:rPr>
          <w:rFonts w:hint="eastAsia"/>
        </w:rPr>
        <w:t>）</w:t>
      </w:r>
    </w:p>
    <w:tbl>
      <w:tblPr>
        <w:tblStyle w:val="13"/>
        <w:tblW w:w="4997"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autofit"/>
        <w:tblCellMar>
          <w:top w:w="0" w:type="dxa"/>
          <w:left w:w="0" w:type="dxa"/>
          <w:bottom w:w="0" w:type="dxa"/>
          <w:right w:w="0" w:type="dxa"/>
        </w:tblCellMar>
      </w:tblPr>
      <w:tblGrid>
        <w:gridCol w:w="1373"/>
        <w:gridCol w:w="1276"/>
        <w:gridCol w:w="1125"/>
        <w:gridCol w:w="1785"/>
        <w:gridCol w:w="2011"/>
        <w:gridCol w:w="1525"/>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705" w:hRule="atLeast"/>
        </w:trPr>
        <w:tc>
          <w:tcPr>
            <w:tcW w:w="755" w:type="pct"/>
            <w:tcBorders>
              <w:tl2br w:val="nil"/>
              <w:tr2bl w:val="nil"/>
            </w:tcBorders>
            <w:shd w:val="clear" w:color="auto" w:fill="auto"/>
            <w:noWrap/>
            <w:tcMar>
              <w:top w:w="15" w:type="dxa"/>
              <w:left w:w="15" w:type="dxa"/>
              <w:right w:w="15" w:type="dxa"/>
            </w:tcMar>
            <w:vAlign w:val="center"/>
          </w:tcPr>
          <w:p>
            <w:pPr>
              <w:pStyle w:val="23"/>
              <w:bidi w:val="0"/>
            </w:pPr>
            <w:r>
              <w:rPr>
                <w:rFonts w:hint="eastAsia"/>
                <w:lang w:val="en-US" w:eastAsia="zh-CN"/>
              </w:rPr>
              <w:t>防治责任范围</w:t>
            </w:r>
          </w:p>
        </w:tc>
        <w:tc>
          <w:tcPr>
            <w:tcW w:w="701"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原方案批复</w:t>
            </w:r>
          </w:p>
        </w:tc>
        <w:tc>
          <w:tcPr>
            <w:tcW w:w="618"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验收阶段</w:t>
            </w:r>
          </w:p>
        </w:tc>
        <w:tc>
          <w:tcPr>
            <w:tcW w:w="981"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验收后</w:t>
            </w:r>
          </w:p>
        </w:tc>
        <w:tc>
          <w:tcPr>
            <w:tcW w:w="1105" w:type="pct"/>
            <w:tcBorders>
              <w:tl2br w:val="nil"/>
              <w:tr2bl w:val="nil"/>
            </w:tcBorders>
            <w:shd w:val="clear" w:color="auto" w:fill="auto"/>
            <w:tcMar>
              <w:top w:w="15" w:type="dxa"/>
              <w:left w:w="15" w:type="dxa"/>
              <w:right w:w="15" w:type="dxa"/>
            </w:tcMar>
            <w:vAlign w:val="center"/>
          </w:tcPr>
          <w:p>
            <w:pPr>
              <w:pStyle w:val="23"/>
              <w:bidi w:val="0"/>
              <w:rPr>
                <w:rFonts w:hint="eastAsia"/>
              </w:rPr>
            </w:pPr>
            <w:r>
              <w:rPr>
                <w:rFonts w:hint="eastAsia"/>
                <w:lang w:val="en-US" w:eastAsia="zh-CN"/>
              </w:rPr>
              <w:t>变化量</w:t>
            </w:r>
          </w:p>
        </w:tc>
        <w:tc>
          <w:tcPr>
            <w:tcW w:w="838"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变化原因</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755" w:type="pct"/>
            <w:tcBorders>
              <w:tl2br w:val="nil"/>
              <w:tr2bl w:val="nil"/>
            </w:tcBorders>
            <w:shd w:val="clear" w:color="auto" w:fill="auto"/>
            <w:noWrap/>
            <w:tcMar>
              <w:top w:w="15" w:type="dxa"/>
              <w:left w:w="15" w:type="dxa"/>
              <w:right w:w="15" w:type="dxa"/>
            </w:tcMar>
            <w:vAlign w:val="bottom"/>
          </w:tcPr>
          <w:p>
            <w:pPr>
              <w:pStyle w:val="23"/>
              <w:bidi w:val="0"/>
            </w:pPr>
            <w:r>
              <w:rPr>
                <w:rFonts w:hint="eastAsia"/>
                <w:lang w:val="en-US" w:eastAsia="zh-CN"/>
              </w:rPr>
              <w:t>建构筑物区</w:t>
            </w:r>
          </w:p>
        </w:tc>
        <w:tc>
          <w:tcPr>
            <w:tcW w:w="701"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2.77</w:t>
            </w:r>
          </w:p>
        </w:tc>
        <w:tc>
          <w:tcPr>
            <w:tcW w:w="618"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2.77</w:t>
            </w:r>
          </w:p>
        </w:tc>
        <w:tc>
          <w:tcPr>
            <w:tcW w:w="981"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2.77</w:t>
            </w:r>
          </w:p>
        </w:tc>
        <w:tc>
          <w:tcPr>
            <w:tcW w:w="1105"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0</w:t>
            </w:r>
          </w:p>
        </w:tc>
        <w:tc>
          <w:tcPr>
            <w:tcW w:w="838" w:type="pct"/>
            <w:vMerge w:val="restart"/>
            <w:tcBorders>
              <w:tl2br w:val="nil"/>
              <w:tr2bl w:val="nil"/>
            </w:tcBorders>
            <w:shd w:val="clear" w:color="auto" w:fill="auto"/>
            <w:noWrap/>
            <w:tcMar>
              <w:top w:w="15" w:type="dxa"/>
              <w:left w:w="15" w:type="dxa"/>
              <w:right w:w="15" w:type="dxa"/>
            </w:tcMar>
            <w:vAlign w:val="center"/>
          </w:tcPr>
          <w:p>
            <w:pPr>
              <w:pStyle w:val="23"/>
              <w:bidi w:val="0"/>
              <w:jc w:val="center"/>
              <w:rPr>
                <w:rFonts w:hint="eastAsia"/>
              </w:rPr>
            </w:pPr>
            <w:r>
              <w:rPr>
                <w:rFonts w:hint="eastAsia"/>
                <w:lang w:val="en-US" w:eastAsia="zh-CN"/>
              </w:rPr>
              <w:t>无变化</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755"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道路及硬化工程</w:t>
            </w:r>
          </w:p>
        </w:tc>
        <w:tc>
          <w:tcPr>
            <w:tcW w:w="701"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1.47</w:t>
            </w:r>
          </w:p>
        </w:tc>
        <w:tc>
          <w:tcPr>
            <w:tcW w:w="618"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1.47</w:t>
            </w:r>
          </w:p>
        </w:tc>
        <w:tc>
          <w:tcPr>
            <w:tcW w:w="981"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1.47</w:t>
            </w:r>
          </w:p>
        </w:tc>
        <w:tc>
          <w:tcPr>
            <w:tcW w:w="1105"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0</w:t>
            </w:r>
          </w:p>
        </w:tc>
        <w:tc>
          <w:tcPr>
            <w:tcW w:w="838" w:type="pct"/>
            <w:vMerge w:val="continue"/>
            <w:tcBorders>
              <w:tl2br w:val="nil"/>
              <w:tr2bl w:val="nil"/>
            </w:tcBorders>
            <w:shd w:val="clear" w:color="auto" w:fill="auto"/>
            <w:noWrap/>
            <w:tcMar>
              <w:top w:w="15" w:type="dxa"/>
              <w:left w:w="15" w:type="dxa"/>
              <w:right w:w="15" w:type="dxa"/>
            </w:tcMar>
            <w:vAlign w:val="bottom"/>
          </w:tcPr>
          <w:p>
            <w:pPr>
              <w:pStyle w:val="23"/>
              <w:bidi w:val="0"/>
              <w:rPr>
                <w:rFonts w:hint="eastAsia"/>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755"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绿化工程</w:t>
            </w:r>
          </w:p>
        </w:tc>
        <w:tc>
          <w:tcPr>
            <w:tcW w:w="701"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0.21</w:t>
            </w:r>
          </w:p>
        </w:tc>
        <w:tc>
          <w:tcPr>
            <w:tcW w:w="618"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0.21</w:t>
            </w:r>
          </w:p>
        </w:tc>
        <w:tc>
          <w:tcPr>
            <w:tcW w:w="981"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0.21</w:t>
            </w:r>
          </w:p>
        </w:tc>
        <w:tc>
          <w:tcPr>
            <w:tcW w:w="1105"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0</w:t>
            </w:r>
          </w:p>
        </w:tc>
        <w:tc>
          <w:tcPr>
            <w:tcW w:w="838" w:type="pct"/>
            <w:vMerge w:val="continue"/>
            <w:tcBorders>
              <w:tl2br w:val="nil"/>
              <w:tr2bl w:val="nil"/>
            </w:tcBorders>
            <w:shd w:val="clear" w:color="auto" w:fill="auto"/>
            <w:noWrap/>
            <w:tcMar>
              <w:top w:w="15" w:type="dxa"/>
              <w:left w:w="15" w:type="dxa"/>
              <w:right w:w="15" w:type="dxa"/>
            </w:tcMar>
            <w:vAlign w:val="bottom"/>
          </w:tcPr>
          <w:p>
            <w:pPr>
              <w:pStyle w:val="23"/>
              <w:bidi w:val="0"/>
              <w:rPr>
                <w:rFonts w:hint="eastAsia"/>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755"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合计</w:t>
            </w:r>
          </w:p>
        </w:tc>
        <w:tc>
          <w:tcPr>
            <w:tcW w:w="701"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4.45</w:t>
            </w:r>
          </w:p>
        </w:tc>
        <w:tc>
          <w:tcPr>
            <w:tcW w:w="618"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4.45</w:t>
            </w:r>
          </w:p>
        </w:tc>
        <w:tc>
          <w:tcPr>
            <w:tcW w:w="981"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4.45</w:t>
            </w:r>
          </w:p>
        </w:tc>
        <w:tc>
          <w:tcPr>
            <w:tcW w:w="1105"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0</w:t>
            </w:r>
          </w:p>
        </w:tc>
        <w:tc>
          <w:tcPr>
            <w:tcW w:w="838" w:type="pct"/>
            <w:vMerge w:val="continue"/>
            <w:tcBorders>
              <w:tl2br w:val="nil"/>
              <w:tr2bl w:val="nil"/>
            </w:tcBorders>
            <w:shd w:val="clear" w:color="auto" w:fill="auto"/>
            <w:noWrap/>
            <w:tcMar>
              <w:top w:w="15" w:type="dxa"/>
              <w:left w:w="15" w:type="dxa"/>
              <w:right w:w="15" w:type="dxa"/>
            </w:tcMar>
            <w:vAlign w:val="bottom"/>
          </w:tcPr>
          <w:p>
            <w:pPr>
              <w:pStyle w:val="23"/>
              <w:bidi w:val="0"/>
              <w:rPr>
                <w:rFonts w:hint="eastAsia"/>
              </w:rPr>
            </w:pPr>
          </w:p>
        </w:tc>
      </w:tr>
    </w:tbl>
    <w:p>
      <w:pPr>
        <w:pStyle w:val="4"/>
        <w:rPr>
          <w:rFonts w:cs="Times New Roman"/>
        </w:rPr>
      </w:pPr>
      <w:r>
        <w:rPr>
          <w:rFonts w:cs="Times New Roman"/>
        </w:rPr>
        <w:t>背景值监测</w:t>
      </w:r>
    </w:p>
    <w:p>
      <w:pPr>
        <w:ind w:firstLine="480"/>
        <w:rPr>
          <w:rFonts w:cs="Times New Roman"/>
        </w:rPr>
      </w:pPr>
      <w:r>
        <w:rPr>
          <w:rFonts w:cs="Times New Roman"/>
        </w:rPr>
        <w:t>根据该工程项目区土壤侵蚀分布图，结合项目区地形图分析，并经现场踏勘调查项目区土地利用类型、面积、地形坡度和植被覆盖率等，同时结合项目区地貌、土壤和气候特征，参照</w:t>
      </w:r>
      <w:r>
        <w:rPr>
          <w:rFonts w:cs="Times New Roman" w:eastAsiaTheme="minorEastAsia"/>
        </w:rPr>
        <w:t>《</w:t>
      </w:r>
      <w:r>
        <w:rPr>
          <w:rFonts w:cs="Times New Roman"/>
        </w:rPr>
        <w:t>土壤侵蚀分类分级标准</w:t>
      </w:r>
      <w:r>
        <w:rPr>
          <w:rFonts w:cs="Times New Roman" w:eastAsiaTheme="minorEastAsia"/>
        </w:rPr>
        <w:t>》</w:t>
      </w:r>
      <w:r>
        <w:rPr>
          <w:rFonts w:cs="Times New Roman"/>
        </w:rPr>
        <w:t xml:space="preserve"> (SL190-2007)推求各工程单元不同土地利用类型下的侵蚀强度，根据经验确定项目区各个工程单元各种土地利用类型下的侵蚀强度，最终确定项目区各个工程单元各种土地利用类型下的土壤侵蚀模数背景值。</w:t>
      </w:r>
      <w:r>
        <w:rPr>
          <w:rFonts w:hint="eastAsia" w:cs="Times New Roman"/>
        </w:rPr>
        <w:t>根据批复方案</w:t>
      </w:r>
      <w:r>
        <w:rPr>
          <w:rFonts w:cs="Times New Roman"/>
        </w:rPr>
        <w:t>，工程区平均土壤侵蚀模数背景值为</w:t>
      </w:r>
      <w:r>
        <w:rPr>
          <w:rFonts w:hint="eastAsia" w:cs="Times New Roman"/>
          <w:lang w:eastAsia="zh-CN"/>
        </w:rPr>
        <w:t>1389</w:t>
      </w:r>
      <w:r>
        <w:rPr>
          <w:rFonts w:hint="eastAsia" w:cs="Times New Roman"/>
        </w:rPr>
        <w:t>t</w:t>
      </w:r>
      <w:r>
        <w:rPr>
          <w:rFonts w:cs="Times New Roman"/>
        </w:rPr>
        <w:t>/km²·a。</w:t>
      </w:r>
    </w:p>
    <w:p>
      <w:pPr>
        <w:pStyle w:val="4"/>
        <w:rPr>
          <w:rFonts w:cs="Times New Roman"/>
        </w:rPr>
      </w:pPr>
      <w:r>
        <w:rPr>
          <w:rFonts w:cs="Times New Roman"/>
        </w:rPr>
        <w:t>建设期扰动土地面积</w:t>
      </w:r>
    </w:p>
    <w:p>
      <w:pPr>
        <w:ind w:firstLine="480"/>
        <w:rPr>
          <w:rFonts w:cs="Times New Roman"/>
          <w:color w:val="000000"/>
        </w:rPr>
      </w:pPr>
      <w:r>
        <w:rPr>
          <w:rFonts w:cs="Times New Roman"/>
          <w:color w:val="000000"/>
        </w:rPr>
        <w:t>工程建设占地面积</w:t>
      </w:r>
      <w:r>
        <w:rPr>
          <w:rFonts w:hint="eastAsia" w:cs="Times New Roman"/>
          <w:color w:val="000000"/>
          <w:lang w:eastAsia="zh-CN"/>
        </w:rPr>
        <w:t>4.45</w:t>
      </w:r>
      <w:r>
        <w:rPr>
          <w:rFonts w:cs="Times New Roman"/>
          <w:color w:val="000000"/>
        </w:rPr>
        <w:t>hm²，其中永久性占地面积为</w:t>
      </w:r>
      <w:r>
        <w:rPr>
          <w:rFonts w:hint="eastAsia" w:cs="Times New Roman"/>
          <w:color w:val="000000"/>
          <w:lang w:eastAsia="zh-CN"/>
        </w:rPr>
        <w:t>4.45</w:t>
      </w:r>
      <w:r>
        <w:rPr>
          <w:rFonts w:cs="Times New Roman"/>
          <w:color w:val="000000"/>
        </w:rPr>
        <w:t>hm²。</w:t>
      </w:r>
    </w:p>
    <w:p>
      <w:pPr>
        <w:pStyle w:val="24"/>
        <w:rPr>
          <w:rFonts w:cs="Times New Roman"/>
        </w:rPr>
      </w:pPr>
      <w:r>
        <w:rPr>
          <w:rFonts w:cs="Times New Roman"/>
        </w:rPr>
        <w:t>表3.1-4工程实际占地面积表</w:t>
      </w:r>
      <w:r>
        <w:rPr>
          <w:rFonts w:hint="eastAsia" w:cs="Times New Roman"/>
        </w:rPr>
        <w:t>（单位：hm</w:t>
      </w:r>
      <w:r>
        <w:rPr>
          <w:rFonts w:hint="eastAsia" w:cs="Times New Roman"/>
          <w:vertAlign w:val="superscript"/>
        </w:rPr>
        <w:t>2</w:t>
      </w:r>
      <w:r>
        <w:rPr>
          <w:rFonts w:hint="eastAsia" w:cs="Times New Roman"/>
        </w:rPr>
        <w:t>）</w:t>
      </w:r>
    </w:p>
    <w:tbl>
      <w:tblPr>
        <w:tblStyle w:val="13"/>
        <w:tblW w:w="4997" w:type="pct"/>
        <w:tblInd w:w="0" w:type="dxa"/>
        <w:tblLayout w:type="autofit"/>
        <w:tblCellMar>
          <w:top w:w="0" w:type="dxa"/>
          <w:left w:w="0" w:type="dxa"/>
          <w:bottom w:w="0" w:type="dxa"/>
          <w:right w:w="0" w:type="dxa"/>
        </w:tblCellMar>
      </w:tblPr>
      <w:tblGrid>
        <w:gridCol w:w="1167"/>
        <w:gridCol w:w="2466"/>
        <w:gridCol w:w="1820"/>
        <w:gridCol w:w="1820"/>
        <w:gridCol w:w="1822"/>
      </w:tblGrid>
      <w:tr>
        <w:tblPrEx>
          <w:tblCellMar>
            <w:top w:w="0" w:type="dxa"/>
            <w:left w:w="0" w:type="dxa"/>
            <w:bottom w:w="0" w:type="dxa"/>
            <w:right w:w="0" w:type="dxa"/>
          </w:tblCellMar>
        </w:tblPrEx>
        <w:trPr>
          <w:trHeight w:val="315" w:hRule="atLeast"/>
        </w:trPr>
        <w:tc>
          <w:tcPr>
            <w:tcW w:w="642" w:type="pct"/>
            <w:tcBorders>
              <w:top w:val="single" w:color="000000" w:sz="12" w:space="0"/>
              <w:left w:val="nil"/>
              <w:bottom w:val="single" w:color="000000" w:sz="8" w:space="0"/>
              <w:right w:val="single" w:color="000000" w:sz="8" w:space="0"/>
            </w:tcBorders>
            <w:shd w:val="clear" w:color="auto" w:fill="auto"/>
            <w:noWrap/>
            <w:tcMar>
              <w:top w:w="15" w:type="dxa"/>
              <w:left w:w="15" w:type="dxa"/>
              <w:right w:w="15" w:type="dxa"/>
            </w:tcMar>
            <w:vAlign w:val="center"/>
          </w:tcPr>
          <w:p>
            <w:pPr>
              <w:pStyle w:val="23"/>
            </w:pPr>
            <w:bookmarkStart w:id="40" w:name="_Toc5825906"/>
            <w:bookmarkStart w:id="41" w:name="_Toc2534363"/>
            <w:bookmarkStart w:id="42" w:name="_Toc19215"/>
            <w:r>
              <w:t>占用方式</w:t>
            </w:r>
          </w:p>
        </w:tc>
        <w:tc>
          <w:tcPr>
            <w:tcW w:w="1355" w:type="pct"/>
            <w:tcBorders>
              <w:top w:val="single" w:color="000000" w:sz="12"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pStyle w:val="23"/>
            </w:pPr>
            <w:r>
              <w:rPr>
                <w:rFonts w:hint="eastAsia"/>
              </w:rPr>
              <w:t>防治分区</w:t>
            </w:r>
          </w:p>
        </w:tc>
        <w:tc>
          <w:tcPr>
            <w:tcW w:w="1000" w:type="pct"/>
            <w:tcBorders>
              <w:top w:val="single" w:color="000000" w:sz="12"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pStyle w:val="23"/>
            </w:pPr>
            <w:r>
              <w:t>批复方案</w:t>
            </w:r>
          </w:p>
        </w:tc>
        <w:tc>
          <w:tcPr>
            <w:tcW w:w="1000" w:type="pct"/>
            <w:tcBorders>
              <w:top w:val="single" w:color="000000" w:sz="12"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pStyle w:val="23"/>
            </w:pPr>
            <w:r>
              <w:t>实际发生</w:t>
            </w:r>
          </w:p>
        </w:tc>
        <w:tc>
          <w:tcPr>
            <w:tcW w:w="1001" w:type="pct"/>
            <w:tcBorders>
              <w:top w:val="single" w:color="000000" w:sz="12"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pStyle w:val="23"/>
            </w:pPr>
            <w:r>
              <w:t>验收后</w:t>
            </w:r>
          </w:p>
        </w:tc>
      </w:tr>
      <w:tr>
        <w:tblPrEx>
          <w:tblCellMar>
            <w:top w:w="0" w:type="dxa"/>
            <w:left w:w="0" w:type="dxa"/>
            <w:bottom w:w="0" w:type="dxa"/>
            <w:right w:w="0" w:type="dxa"/>
          </w:tblCellMar>
        </w:tblPrEx>
        <w:trPr>
          <w:trHeight w:val="300" w:hRule="atLeast"/>
        </w:trPr>
        <w:tc>
          <w:tcPr>
            <w:tcW w:w="642" w:type="pct"/>
            <w:vMerge w:val="restart"/>
            <w:tcBorders>
              <w:top w:val="single" w:color="000000" w:sz="8" w:space="0"/>
              <w:left w:val="nil"/>
              <w:right w:val="single" w:color="000000" w:sz="8" w:space="0"/>
            </w:tcBorders>
            <w:shd w:val="clear" w:color="auto" w:fill="auto"/>
            <w:noWrap/>
            <w:tcMar>
              <w:top w:w="15" w:type="dxa"/>
              <w:left w:w="15" w:type="dxa"/>
              <w:right w:w="15" w:type="dxa"/>
            </w:tcMar>
            <w:vAlign w:val="center"/>
          </w:tcPr>
          <w:p>
            <w:pPr>
              <w:pStyle w:val="23"/>
            </w:pPr>
            <w:r>
              <w:rPr>
                <w:rFonts w:hint="eastAsia"/>
              </w:rPr>
              <w:t>永久占地</w:t>
            </w:r>
          </w:p>
        </w:tc>
        <w:tc>
          <w:tcPr>
            <w:tcW w:w="1355" w:type="pct"/>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pStyle w:val="23"/>
              <w:bidi w:val="0"/>
              <w:ind w:firstLine="0" w:firstLineChars="0"/>
            </w:pPr>
            <w:r>
              <w:rPr>
                <w:rFonts w:hint="eastAsia"/>
                <w:lang w:val="en-US" w:eastAsia="zh-CN"/>
              </w:rPr>
              <w:t>建构筑物区</w:t>
            </w:r>
          </w:p>
        </w:tc>
        <w:tc>
          <w:tcPr>
            <w:tcW w:w="1000" w:type="pct"/>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bottom"/>
          </w:tcPr>
          <w:p>
            <w:pPr>
              <w:pStyle w:val="23"/>
              <w:bidi w:val="0"/>
              <w:ind w:firstLine="0" w:firstLineChars="0"/>
              <w:rPr>
                <w:rFonts w:hint="eastAsia" w:eastAsia="仿宋"/>
                <w:lang w:eastAsia="zh-CN"/>
              </w:rPr>
            </w:pPr>
            <w:r>
              <w:rPr>
                <w:rFonts w:hint="eastAsia"/>
                <w:lang w:val="en-US" w:eastAsia="zh-CN"/>
              </w:rPr>
              <w:t>2.77</w:t>
            </w:r>
          </w:p>
        </w:tc>
        <w:tc>
          <w:tcPr>
            <w:tcW w:w="1000" w:type="pct"/>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bottom"/>
          </w:tcPr>
          <w:p>
            <w:pPr>
              <w:pStyle w:val="23"/>
              <w:bidi w:val="0"/>
              <w:ind w:firstLine="0" w:firstLineChars="0"/>
              <w:rPr>
                <w:rFonts w:hint="eastAsia" w:eastAsia="仿宋"/>
                <w:lang w:eastAsia="zh-CN"/>
              </w:rPr>
            </w:pPr>
            <w:r>
              <w:rPr>
                <w:rFonts w:hint="eastAsia"/>
                <w:lang w:val="en-US" w:eastAsia="zh-CN"/>
              </w:rPr>
              <w:t>2.77</w:t>
            </w:r>
          </w:p>
        </w:tc>
        <w:tc>
          <w:tcPr>
            <w:tcW w:w="1001" w:type="pct"/>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bottom"/>
          </w:tcPr>
          <w:p>
            <w:pPr>
              <w:pStyle w:val="23"/>
              <w:bidi w:val="0"/>
              <w:ind w:firstLine="0" w:firstLineChars="0"/>
              <w:rPr>
                <w:rFonts w:hint="eastAsia" w:eastAsia="仿宋"/>
                <w:lang w:eastAsia="zh-CN"/>
              </w:rPr>
            </w:pPr>
            <w:r>
              <w:rPr>
                <w:rFonts w:hint="eastAsia"/>
                <w:lang w:val="en-US" w:eastAsia="zh-CN"/>
              </w:rPr>
              <w:t>2.77</w:t>
            </w:r>
          </w:p>
        </w:tc>
      </w:tr>
      <w:tr>
        <w:tblPrEx>
          <w:tblCellMar>
            <w:top w:w="0" w:type="dxa"/>
            <w:left w:w="0" w:type="dxa"/>
            <w:bottom w:w="0" w:type="dxa"/>
            <w:right w:w="0" w:type="dxa"/>
          </w:tblCellMar>
        </w:tblPrEx>
        <w:trPr>
          <w:trHeight w:val="300" w:hRule="atLeast"/>
        </w:trPr>
        <w:tc>
          <w:tcPr>
            <w:tcW w:w="642" w:type="pct"/>
            <w:vMerge w:val="continue"/>
            <w:tcBorders>
              <w:left w:val="nil"/>
              <w:right w:val="single" w:color="000000" w:sz="8" w:space="0"/>
            </w:tcBorders>
            <w:shd w:val="clear" w:color="auto" w:fill="auto"/>
            <w:noWrap/>
            <w:tcMar>
              <w:top w:w="15" w:type="dxa"/>
              <w:left w:w="15" w:type="dxa"/>
              <w:right w:w="15" w:type="dxa"/>
            </w:tcMar>
            <w:vAlign w:val="center"/>
          </w:tcPr>
          <w:p>
            <w:pPr>
              <w:pStyle w:val="23"/>
              <w:rPr>
                <w:rFonts w:hint="eastAsia"/>
              </w:rPr>
            </w:pPr>
          </w:p>
        </w:tc>
        <w:tc>
          <w:tcPr>
            <w:tcW w:w="1355" w:type="pct"/>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pStyle w:val="23"/>
              <w:bidi w:val="0"/>
              <w:ind w:firstLine="0" w:firstLineChars="0"/>
              <w:rPr>
                <w:rFonts w:hint="eastAsia"/>
              </w:rPr>
            </w:pPr>
            <w:r>
              <w:rPr>
                <w:rFonts w:hint="eastAsia"/>
                <w:lang w:val="en-US" w:eastAsia="zh-CN"/>
              </w:rPr>
              <w:t>道路及硬化工程</w:t>
            </w:r>
          </w:p>
        </w:tc>
        <w:tc>
          <w:tcPr>
            <w:tcW w:w="1000" w:type="pct"/>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bottom"/>
          </w:tcPr>
          <w:p>
            <w:pPr>
              <w:pStyle w:val="23"/>
              <w:bidi w:val="0"/>
              <w:ind w:firstLine="0" w:firstLineChars="0"/>
              <w:rPr>
                <w:rFonts w:hint="eastAsia"/>
                <w:lang w:eastAsia="zh-CN"/>
              </w:rPr>
            </w:pPr>
            <w:r>
              <w:rPr>
                <w:rFonts w:hint="eastAsia"/>
                <w:lang w:val="en-US" w:eastAsia="zh-CN"/>
              </w:rPr>
              <w:t>1.47</w:t>
            </w:r>
          </w:p>
        </w:tc>
        <w:tc>
          <w:tcPr>
            <w:tcW w:w="1000" w:type="pct"/>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bottom"/>
          </w:tcPr>
          <w:p>
            <w:pPr>
              <w:pStyle w:val="23"/>
              <w:bidi w:val="0"/>
              <w:ind w:firstLine="0" w:firstLineChars="0"/>
              <w:rPr>
                <w:rFonts w:hint="eastAsia"/>
                <w:lang w:eastAsia="zh-CN"/>
              </w:rPr>
            </w:pPr>
            <w:r>
              <w:rPr>
                <w:rFonts w:hint="eastAsia"/>
                <w:lang w:val="en-US" w:eastAsia="zh-CN"/>
              </w:rPr>
              <w:t>1.47</w:t>
            </w:r>
          </w:p>
        </w:tc>
        <w:tc>
          <w:tcPr>
            <w:tcW w:w="1001" w:type="pct"/>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bottom"/>
          </w:tcPr>
          <w:p>
            <w:pPr>
              <w:pStyle w:val="23"/>
              <w:bidi w:val="0"/>
              <w:ind w:firstLine="0" w:firstLineChars="0"/>
              <w:rPr>
                <w:rFonts w:hint="eastAsia"/>
                <w:lang w:eastAsia="zh-CN"/>
              </w:rPr>
            </w:pPr>
            <w:r>
              <w:rPr>
                <w:rFonts w:hint="eastAsia"/>
                <w:lang w:val="en-US" w:eastAsia="zh-CN"/>
              </w:rPr>
              <w:t>1.47</w:t>
            </w:r>
          </w:p>
        </w:tc>
      </w:tr>
      <w:tr>
        <w:tblPrEx>
          <w:tblCellMar>
            <w:top w:w="0" w:type="dxa"/>
            <w:left w:w="0" w:type="dxa"/>
            <w:bottom w:w="0" w:type="dxa"/>
            <w:right w:w="0" w:type="dxa"/>
          </w:tblCellMar>
        </w:tblPrEx>
        <w:trPr>
          <w:trHeight w:val="300" w:hRule="atLeast"/>
        </w:trPr>
        <w:tc>
          <w:tcPr>
            <w:tcW w:w="642" w:type="pct"/>
            <w:vMerge w:val="continue"/>
            <w:tcBorders>
              <w:left w:val="nil"/>
              <w:right w:val="single" w:color="000000" w:sz="8" w:space="0"/>
            </w:tcBorders>
            <w:shd w:val="clear" w:color="auto" w:fill="auto"/>
            <w:noWrap/>
            <w:tcMar>
              <w:top w:w="15" w:type="dxa"/>
              <w:left w:w="15" w:type="dxa"/>
              <w:right w:w="15" w:type="dxa"/>
            </w:tcMar>
            <w:vAlign w:val="center"/>
          </w:tcPr>
          <w:p>
            <w:pPr>
              <w:pStyle w:val="23"/>
              <w:rPr>
                <w:rFonts w:hint="eastAsia"/>
              </w:rPr>
            </w:pPr>
          </w:p>
        </w:tc>
        <w:tc>
          <w:tcPr>
            <w:tcW w:w="1355" w:type="pct"/>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pStyle w:val="23"/>
              <w:bidi w:val="0"/>
              <w:ind w:firstLine="0" w:firstLineChars="0"/>
              <w:rPr>
                <w:rFonts w:hint="eastAsia"/>
              </w:rPr>
            </w:pPr>
            <w:r>
              <w:rPr>
                <w:rFonts w:hint="eastAsia"/>
                <w:lang w:val="en-US" w:eastAsia="zh-CN"/>
              </w:rPr>
              <w:t>绿化工程</w:t>
            </w:r>
          </w:p>
        </w:tc>
        <w:tc>
          <w:tcPr>
            <w:tcW w:w="1000" w:type="pct"/>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bottom"/>
          </w:tcPr>
          <w:p>
            <w:pPr>
              <w:pStyle w:val="23"/>
              <w:bidi w:val="0"/>
              <w:ind w:firstLine="0" w:firstLineChars="0"/>
              <w:rPr>
                <w:rFonts w:hint="eastAsia"/>
                <w:lang w:eastAsia="zh-CN"/>
              </w:rPr>
            </w:pPr>
            <w:r>
              <w:rPr>
                <w:rFonts w:hint="eastAsia"/>
                <w:lang w:val="en-US" w:eastAsia="zh-CN"/>
              </w:rPr>
              <w:t>0.21</w:t>
            </w:r>
          </w:p>
        </w:tc>
        <w:tc>
          <w:tcPr>
            <w:tcW w:w="1000" w:type="pct"/>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bottom"/>
          </w:tcPr>
          <w:p>
            <w:pPr>
              <w:pStyle w:val="23"/>
              <w:bidi w:val="0"/>
              <w:ind w:firstLine="0" w:firstLineChars="0"/>
              <w:rPr>
                <w:rFonts w:hint="eastAsia"/>
                <w:lang w:eastAsia="zh-CN"/>
              </w:rPr>
            </w:pPr>
            <w:r>
              <w:rPr>
                <w:rFonts w:hint="eastAsia"/>
                <w:lang w:val="en-US" w:eastAsia="zh-CN"/>
              </w:rPr>
              <w:t>0.21</w:t>
            </w:r>
          </w:p>
        </w:tc>
        <w:tc>
          <w:tcPr>
            <w:tcW w:w="1001" w:type="pct"/>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bottom"/>
          </w:tcPr>
          <w:p>
            <w:pPr>
              <w:pStyle w:val="23"/>
              <w:bidi w:val="0"/>
              <w:ind w:firstLine="0" w:firstLineChars="0"/>
              <w:rPr>
                <w:rFonts w:hint="eastAsia"/>
                <w:lang w:eastAsia="zh-CN"/>
              </w:rPr>
            </w:pPr>
            <w:r>
              <w:rPr>
                <w:rFonts w:hint="eastAsia"/>
                <w:lang w:val="en-US" w:eastAsia="zh-CN"/>
              </w:rPr>
              <w:t>0.21</w:t>
            </w:r>
          </w:p>
        </w:tc>
      </w:tr>
      <w:tr>
        <w:tblPrEx>
          <w:tblCellMar>
            <w:top w:w="0" w:type="dxa"/>
            <w:left w:w="0" w:type="dxa"/>
            <w:bottom w:w="0" w:type="dxa"/>
            <w:right w:w="0" w:type="dxa"/>
          </w:tblCellMar>
        </w:tblPrEx>
        <w:trPr>
          <w:trHeight w:val="300" w:hRule="atLeast"/>
        </w:trPr>
        <w:tc>
          <w:tcPr>
            <w:tcW w:w="642" w:type="pct"/>
            <w:vMerge w:val="continue"/>
            <w:tcBorders>
              <w:left w:val="nil"/>
              <w:bottom w:val="single" w:color="000000" w:sz="8" w:space="0"/>
              <w:right w:val="single" w:color="000000" w:sz="8" w:space="0"/>
            </w:tcBorders>
            <w:shd w:val="clear" w:color="auto" w:fill="auto"/>
            <w:noWrap/>
            <w:tcMar>
              <w:top w:w="15" w:type="dxa"/>
              <w:left w:w="15" w:type="dxa"/>
              <w:right w:w="15" w:type="dxa"/>
            </w:tcMar>
            <w:vAlign w:val="center"/>
          </w:tcPr>
          <w:p>
            <w:pPr>
              <w:pStyle w:val="23"/>
              <w:rPr>
                <w:rFonts w:hint="eastAsia"/>
              </w:rPr>
            </w:pPr>
          </w:p>
        </w:tc>
        <w:tc>
          <w:tcPr>
            <w:tcW w:w="1355" w:type="pct"/>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pStyle w:val="23"/>
              <w:bidi w:val="0"/>
              <w:ind w:firstLine="0" w:firstLineChars="0"/>
              <w:rPr>
                <w:rFonts w:hint="eastAsia"/>
              </w:rPr>
            </w:pPr>
            <w:r>
              <w:rPr>
                <w:rFonts w:hint="eastAsia"/>
                <w:lang w:val="en-US" w:eastAsia="zh-CN"/>
              </w:rPr>
              <w:t>合计</w:t>
            </w:r>
          </w:p>
        </w:tc>
        <w:tc>
          <w:tcPr>
            <w:tcW w:w="1000" w:type="pct"/>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bottom"/>
          </w:tcPr>
          <w:p>
            <w:pPr>
              <w:pStyle w:val="23"/>
              <w:bidi w:val="0"/>
              <w:ind w:firstLine="0" w:firstLineChars="0"/>
              <w:rPr>
                <w:rFonts w:hint="eastAsia"/>
                <w:lang w:eastAsia="zh-CN"/>
              </w:rPr>
            </w:pPr>
            <w:r>
              <w:rPr>
                <w:rFonts w:hint="eastAsia"/>
                <w:lang w:val="en-US" w:eastAsia="zh-CN"/>
              </w:rPr>
              <w:t>4.45</w:t>
            </w:r>
          </w:p>
        </w:tc>
        <w:tc>
          <w:tcPr>
            <w:tcW w:w="1000" w:type="pct"/>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bottom"/>
          </w:tcPr>
          <w:p>
            <w:pPr>
              <w:pStyle w:val="23"/>
              <w:bidi w:val="0"/>
              <w:ind w:firstLine="0" w:firstLineChars="0"/>
              <w:rPr>
                <w:rFonts w:hint="eastAsia"/>
                <w:lang w:eastAsia="zh-CN"/>
              </w:rPr>
            </w:pPr>
            <w:r>
              <w:rPr>
                <w:rFonts w:hint="eastAsia"/>
                <w:lang w:val="en-US" w:eastAsia="zh-CN"/>
              </w:rPr>
              <w:t>4.45</w:t>
            </w:r>
          </w:p>
        </w:tc>
        <w:tc>
          <w:tcPr>
            <w:tcW w:w="1001" w:type="pct"/>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bottom"/>
          </w:tcPr>
          <w:p>
            <w:pPr>
              <w:pStyle w:val="23"/>
              <w:bidi w:val="0"/>
              <w:ind w:firstLine="0" w:firstLineChars="0"/>
              <w:rPr>
                <w:rFonts w:hint="eastAsia"/>
                <w:lang w:eastAsia="zh-CN"/>
              </w:rPr>
            </w:pPr>
            <w:r>
              <w:rPr>
                <w:rFonts w:hint="eastAsia"/>
                <w:lang w:val="en-US" w:eastAsia="zh-CN"/>
              </w:rPr>
              <w:t>4.45</w:t>
            </w:r>
          </w:p>
        </w:tc>
      </w:tr>
    </w:tbl>
    <w:p>
      <w:pPr>
        <w:pStyle w:val="3"/>
        <w:rPr>
          <w:rFonts w:ascii="Times New Roman" w:hAnsi="Times New Roman" w:cs="Times New Roman"/>
        </w:rPr>
      </w:pPr>
      <w:r>
        <w:rPr>
          <w:rFonts w:ascii="Times New Roman" w:hAnsi="Times New Roman" w:cs="Times New Roman"/>
        </w:rPr>
        <w:t>取料监测结果</w:t>
      </w:r>
      <w:bookmarkEnd w:id="40"/>
      <w:bookmarkEnd w:id="41"/>
      <w:bookmarkEnd w:id="42"/>
    </w:p>
    <w:p>
      <w:pPr>
        <w:snapToGrid w:val="0"/>
        <w:ind w:firstLine="480"/>
        <w:rPr>
          <w:rFonts w:cs="Times New Roman"/>
        </w:rPr>
      </w:pPr>
      <w:r>
        <w:rPr>
          <w:rFonts w:cs="Times New Roman"/>
        </w:rPr>
        <w:t>本工程施工过程中所需成品砂石料均从附近商用料场购买，成品料场的水土流失防治责任由料场业主负责。由于工程所需砂石原料远远小于该成品料场的供应量，不存在因本工程建设而扩大生产规模的问题，因此砂石料供应产生的水土流失也应由料场业主负责防治。</w:t>
      </w:r>
    </w:p>
    <w:p>
      <w:pPr>
        <w:pStyle w:val="3"/>
        <w:rPr>
          <w:rFonts w:ascii="Times New Roman" w:hAnsi="Times New Roman" w:cs="Times New Roman"/>
        </w:rPr>
      </w:pPr>
      <w:bookmarkStart w:id="43" w:name="_Toc2534364"/>
      <w:bookmarkStart w:id="44" w:name="_Toc33"/>
      <w:bookmarkStart w:id="45" w:name="_Toc5825907"/>
      <w:r>
        <w:rPr>
          <w:rFonts w:ascii="Times New Roman" w:hAnsi="Times New Roman" w:cs="Times New Roman"/>
        </w:rPr>
        <w:t>弃渣监测结果</w:t>
      </w:r>
      <w:bookmarkEnd w:id="43"/>
      <w:bookmarkEnd w:id="44"/>
      <w:bookmarkEnd w:id="45"/>
    </w:p>
    <w:p>
      <w:pPr>
        <w:ind w:firstLine="480"/>
        <w:rPr>
          <w:rFonts w:cs="Times New Roman"/>
        </w:rPr>
      </w:pPr>
      <w:r>
        <w:rPr>
          <w:rFonts w:hint="eastAsia" w:cs="Times New Roman"/>
        </w:rPr>
        <w:t>工程施工过程中，主体工程土石方调运安排，以最大限度减少弃方，同时局部布局优化，施工工艺改进，弃渣量</w:t>
      </w:r>
      <w:r>
        <w:rPr>
          <w:rFonts w:hint="eastAsia" w:cs="Times New Roman"/>
          <w:lang w:val="en-US" w:eastAsia="zh-CN"/>
        </w:rPr>
        <w:t>与</w:t>
      </w:r>
      <w:r>
        <w:rPr>
          <w:rFonts w:hint="eastAsia" w:cs="Times New Roman"/>
        </w:rPr>
        <w:t>方案</w:t>
      </w:r>
      <w:r>
        <w:rPr>
          <w:rFonts w:hint="eastAsia" w:cs="Times New Roman"/>
          <w:lang w:val="en-US" w:eastAsia="zh-CN"/>
        </w:rPr>
        <w:t>基本一致</w:t>
      </w:r>
      <w:r>
        <w:rPr>
          <w:rFonts w:hint="eastAsia" w:cs="Times New Roman"/>
        </w:rPr>
        <w:t>。项目</w:t>
      </w:r>
      <w:r>
        <w:rPr>
          <w:rFonts w:cs="Times New Roman"/>
        </w:rPr>
        <w:t>开挖土石方</w:t>
      </w:r>
      <w:r>
        <w:rPr>
          <w:rFonts w:hint="eastAsia" w:cs="Times New Roman"/>
        </w:rPr>
        <w:t>2.89</w:t>
      </w:r>
      <w:r>
        <w:rPr>
          <w:rFonts w:cs="Times New Roman"/>
        </w:rPr>
        <w:t>万m</w:t>
      </w:r>
      <w:r>
        <w:rPr>
          <w:rFonts w:cs="Times New Roman"/>
          <w:vertAlign w:val="superscript"/>
        </w:rPr>
        <w:t>3</w:t>
      </w:r>
      <w:r>
        <w:rPr>
          <w:rFonts w:cs="Times New Roman"/>
        </w:rPr>
        <w:t>，</w:t>
      </w:r>
      <w:r>
        <w:rPr>
          <w:rFonts w:hint="eastAsia"/>
        </w:rPr>
        <w:t>填方</w:t>
      </w:r>
      <w:r>
        <w:rPr>
          <w:rFonts w:hint="eastAsia"/>
          <w:lang w:eastAsia="zh-CN"/>
        </w:rPr>
        <w:t>12.89</w:t>
      </w:r>
      <w:r>
        <w:rPr>
          <w:rFonts w:hint="eastAsia"/>
        </w:rPr>
        <w:t>万m</w:t>
      </w:r>
      <w:r>
        <w:rPr>
          <w:vertAlign w:val="superscript"/>
        </w:rPr>
        <w:t>3</w:t>
      </w:r>
      <w:r>
        <w:rPr>
          <w:rFonts w:hint="eastAsia"/>
        </w:rPr>
        <w:t>，无</w:t>
      </w:r>
      <w:r>
        <w:rPr>
          <w:rFonts w:hint="eastAsia"/>
          <w:lang w:val="en-US" w:eastAsia="zh-CN"/>
        </w:rPr>
        <w:t>弃</w:t>
      </w:r>
      <w:r>
        <w:rPr>
          <w:rFonts w:hint="eastAsia"/>
        </w:rPr>
        <w:t>方，</w:t>
      </w:r>
      <w:r>
        <w:rPr>
          <w:rFonts w:hint="eastAsia"/>
          <w:lang w:val="en-US" w:eastAsia="zh-CN"/>
        </w:rPr>
        <w:t>借</w:t>
      </w:r>
      <w:r>
        <w:rPr>
          <w:rFonts w:hint="eastAsia"/>
        </w:rPr>
        <w:t>方</w:t>
      </w:r>
      <w:r>
        <w:rPr>
          <w:rFonts w:hint="eastAsia"/>
          <w:lang w:val="en-US" w:eastAsia="zh-CN"/>
        </w:rPr>
        <w:t>10</w:t>
      </w:r>
      <w:r>
        <w:rPr>
          <w:rFonts w:hint="eastAsia"/>
        </w:rPr>
        <w:t>万m</w:t>
      </w:r>
      <w:r>
        <w:rPr>
          <w:vertAlign w:val="superscript"/>
        </w:rPr>
        <w:t>3</w:t>
      </w:r>
      <w:r>
        <w:rPr>
          <w:rFonts w:hint="eastAsia"/>
        </w:rPr>
        <w:t>，借方由其他建设项目的弃土及园区管委会调入土方进行回填</w:t>
      </w:r>
      <w:r>
        <w:rPr>
          <w:rFonts w:hint="eastAsia" w:cs="Times New Roman"/>
        </w:rPr>
        <w:t>。</w:t>
      </w:r>
    </w:p>
    <w:p>
      <w:pPr>
        <w:pStyle w:val="4"/>
        <w:rPr>
          <w:rFonts w:cs="Times New Roman"/>
        </w:rPr>
      </w:pPr>
      <w:r>
        <w:rPr>
          <w:rFonts w:cs="Times New Roman"/>
        </w:rPr>
        <w:t>设计弃渣情况</w:t>
      </w:r>
    </w:p>
    <w:p>
      <w:pPr>
        <w:ind w:firstLine="480"/>
        <w:rPr>
          <w:rFonts w:cs="Times New Roman"/>
        </w:rPr>
      </w:pPr>
      <w:r>
        <w:rPr>
          <w:rFonts w:hint="eastAsia" w:cs="Times New Roman"/>
          <w:lang w:val="zh-CN"/>
        </w:rPr>
        <w:t>方案设计</w:t>
      </w:r>
      <w:r>
        <w:rPr>
          <w:rFonts w:cs="Times New Roman"/>
        </w:rPr>
        <w:t>开挖土石方</w:t>
      </w:r>
      <w:r>
        <w:rPr>
          <w:rFonts w:hint="eastAsia"/>
          <w:lang w:eastAsia="zh-CN"/>
        </w:rPr>
        <w:t>2.89</w:t>
      </w:r>
      <w:r>
        <w:rPr>
          <w:rFonts w:hint="eastAsia"/>
        </w:rPr>
        <w:t>万m</w:t>
      </w:r>
      <w:r>
        <w:rPr>
          <w:vertAlign w:val="superscript"/>
        </w:rPr>
        <w:t>3</w:t>
      </w:r>
      <w:r>
        <w:rPr>
          <w:rFonts w:hint="eastAsia"/>
        </w:rPr>
        <w:t>，填方</w:t>
      </w:r>
      <w:r>
        <w:rPr>
          <w:rFonts w:hint="eastAsia"/>
          <w:lang w:eastAsia="zh-CN"/>
        </w:rPr>
        <w:t>12.89</w:t>
      </w:r>
      <w:r>
        <w:rPr>
          <w:rFonts w:hint="eastAsia"/>
        </w:rPr>
        <w:t>万m</w:t>
      </w:r>
      <w:r>
        <w:rPr>
          <w:vertAlign w:val="superscript"/>
        </w:rPr>
        <w:t>3</w:t>
      </w:r>
      <w:r>
        <w:rPr>
          <w:rFonts w:hint="eastAsia"/>
        </w:rPr>
        <w:t>，无</w:t>
      </w:r>
      <w:r>
        <w:rPr>
          <w:rFonts w:hint="eastAsia"/>
          <w:lang w:val="en-US" w:eastAsia="zh-CN"/>
        </w:rPr>
        <w:t>弃</w:t>
      </w:r>
      <w:r>
        <w:rPr>
          <w:rFonts w:hint="eastAsia"/>
        </w:rPr>
        <w:t>方，</w:t>
      </w:r>
      <w:r>
        <w:rPr>
          <w:rFonts w:hint="eastAsia"/>
          <w:lang w:val="en-US" w:eastAsia="zh-CN"/>
        </w:rPr>
        <w:t>借</w:t>
      </w:r>
      <w:r>
        <w:rPr>
          <w:rFonts w:hint="eastAsia"/>
        </w:rPr>
        <w:t>方</w:t>
      </w:r>
      <w:r>
        <w:rPr>
          <w:rFonts w:hint="eastAsia"/>
          <w:lang w:val="en-US" w:eastAsia="zh-CN"/>
        </w:rPr>
        <w:t>10</w:t>
      </w:r>
      <w:r>
        <w:rPr>
          <w:rFonts w:hint="eastAsia"/>
        </w:rPr>
        <w:t>万m</w:t>
      </w:r>
      <w:r>
        <w:rPr>
          <w:vertAlign w:val="superscript"/>
        </w:rPr>
        <w:t>3</w:t>
      </w:r>
      <w:r>
        <w:rPr>
          <w:rFonts w:hint="eastAsia"/>
        </w:rPr>
        <w:t>，借方由其他建设项目的弃土及园区管委会调入土方进行回填</w:t>
      </w:r>
      <w:r>
        <w:rPr>
          <w:rFonts w:hint="eastAsia" w:cs="Times New Roman"/>
          <w:lang w:val="zh-CN"/>
        </w:rPr>
        <w:t>。</w:t>
      </w:r>
    </w:p>
    <w:p>
      <w:pPr>
        <w:pStyle w:val="4"/>
        <w:rPr>
          <w:rFonts w:cs="Times New Roman"/>
        </w:rPr>
      </w:pPr>
      <w:r>
        <w:rPr>
          <w:rFonts w:cs="Times New Roman"/>
        </w:rPr>
        <w:t>弃渣场位置、占地面积及弃渣量监测结果</w:t>
      </w:r>
    </w:p>
    <w:p>
      <w:pPr>
        <w:rPr>
          <w:rFonts w:hint="eastAsia" w:eastAsia="仿宋_GB2312"/>
          <w:lang w:eastAsia="zh-CN"/>
        </w:rPr>
      </w:pPr>
      <w:r>
        <w:rPr>
          <w:rFonts w:hint="eastAsia" w:cs="Times New Roman"/>
          <w:color w:val="auto"/>
        </w:rPr>
        <w:t>本项目不涉及弃渣场</w:t>
      </w:r>
      <w:r>
        <w:rPr>
          <w:rFonts w:hint="eastAsia" w:cs="Times New Roman"/>
          <w:color w:val="auto"/>
          <w:lang w:eastAsia="zh-CN"/>
        </w:rPr>
        <w:t>。</w:t>
      </w:r>
    </w:p>
    <w:p>
      <w:pPr>
        <w:pStyle w:val="4"/>
        <w:rPr>
          <w:rFonts w:cs="Times New Roman"/>
        </w:rPr>
      </w:pPr>
      <w:r>
        <w:rPr>
          <w:rFonts w:cs="Times New Roman"/>
        </w:rPr>
        <w:t>弃渣对比分析</w:t>
      </w:r>
    </w:p>
    <w:p>
      <w:pPr>
        <w:ind w:firstLine="480"/>
        <w:rPr>
          <w:rFonts w:cs="Times New Roman"/>
        </w:rPr>
      </w:pPr>
      <w:r>
        <w:rPr>
          <w:rFonts w:hint="eastAsia" w:cs="Times New Roman"/>
        </w:rPr>
        <w:t>实际施工过程中减少土石方开挖量，加大土石方综合利用，减少弃渣量</w:t>
      </w:r>
      <w:r>
        <w:rPr>
          <w:rFonts w:cs="Times New Roman"/>
        </w:rPr>
        <w:t>，有利于水土保持。</w:t>
      </w:r>
    </w:p>
    <w:p>
      <w:pPr>
        <w:pStyle w:val="3"/>
        <w:rPr>
          <w:rFonts w:ascii="Times New Roman" w:hAnsi="Times New Roman" w:cs="Times New Roman"/>
        </w:rPr>
      </w:pPr>
      <w:bookmarkStart w:id="46" w:name="_Toc28253"/>
      <w:bookmarkStart w:id="47" w:name="_Toc5825908"/>
      <w:bookmarkStart w:id="48" w:name="_Toc2534365"/>
      <w:r>
        <w:rPr>
          <w:rFonts w:ascii="Times New Roman" w:hAnsi="Times New Roman" w:cs="Times New Roman"/>
        </w:rPr>
        <w:t>土石方流向情况监测结果</w:t>
      </w:r>
      <w:bookmarkEnd w:id="46"/>
      <w:bookmarkEnd w:id="47"/>
      <w:bookmarkEnd w:id="48"/>
    </w:p>
    <w:p>
      <w:pPr>
        <w:ind w:firstLine="480"/>
        <w:rPr>
          <w:rFonts w:hint="eastAsia" w:cs="Times New Roman"/>
        </w:rPr>
      </w:pPr>
      <w:r>
        <w:rPr>
          <w:rFonts w:hint="eastAsia" w:cs="Times New Roman"/>
        </w:rPr>
        <w:t>经查阅施工资料和现场调查，实际土石方</w:t>
      </w:r>
      <w:r>
        <w:rPr>
          <w:rFonts w:hint="eastAsia" w:cs="Times New Roman"/>
          <w:lang w:val="en-US" w:eastAsia="zh-CN"/>
        </w:rPr>
        <w:t>挖填与方案基本保持一致，土石方开挖</w:t>
      </w:r>
      <w:r>
        <w:rPr>
          <w:rFonts w:hint="eastAsia"/>
          <w:lang w:eastAsia="zh-CN"/>
        </w:rPr>
        <w:t>2.89</w:t>
      </w:r>
      <w:r>
        <w:rPr>
          <w:rFonts w:hint="eastAsia"/>
        </w:rPr>
        <w:t>万m</w:t>
      </w:r>
      <w:r>
        <w:rPr>
          <w:vertAlign w:val="superscript"/>
        </w:rPr>
        <w:t>3</w:t>
      </w:r>
      <w:r>
        <w:rPr>
          <w:rFonts w:hint="eastAsia" w:cs="Times New Roman"/>
        </w:rPr>
        <w:t>（自然方，下同），回填及综合利用</w:t>
      </w:r>
      <w:r>
        <w:rPr>
          <w:rFonts w:hint="eastAsia"/>
          <w:lang w:eastAsia="zh-CN"/>
        </w:rPr>
        <w:t>12.89</w:t>
      </w:r>
      <w:r>
        <w:rPr>
          <w:rFonts w:hint="eastAsia"/>
        </w:rPr>
        <w:t>万m</w:t>
      </w:r>
      <w:r>
        <w:rPr>
          <w:vertAlign w:val="superscript"/>
        </w:rPr>
        <w:t>3</w:t>
      </w:r>
      <w:r>
        <w:rPr>
          <w:rFonts w:hint="eastAsia" w:cs="Times New Roman"/>
        </w:rPr>
        <w:t>，</w:t>
      </w:r>
      <w:r>
        <w:rPr>
          <w:rFonts w:hint="eastAsia"/>
        </w:rPr>
        <w:t>无</w:t>
      </w:r>
      <w:r>
        <w:rPr>
          <w:rFonts w:hint="eastAsia"/>
          <w:lang w:val="en-US" w:eastAsia="zh-CN"/>
        </w:rPr>
        <w:t>弃</w:t>
      </w:r>
      <w:r>
        <w:rPr>
          <w:rFonts w:hint="eastAsia"/>
        </w:rPr>
        <w:t>方，</w:t>
      </w:r>
      <w:r>
        <w:rPr>
          <w:rFonts w:hint="eastAsia"/>
          <w:lang w:val="en-US" w:eastAsia="zh-CN"/>
        </w:rPr>
        <w:t>借</w:t>
      </w:r>
      <w:r>
        <w:rPr>
          <w:rFonts w:hint="eastAsia"/>
        </w:rPr>
        <w:t>方</w:t>
      </w:r>
      <w:r>
        <w:rPr>
          <w:rFonts w:hint="eastAsia"/>
          <w:lang w:val="en-US" w:eastAsia="zh-CN"/>
        </w:rPr>
        <w:t>10</w:t>
      </w:r>
      <w:r>
        <w:rPr>
          <w:rFonts w:hint="eastAsia"/>
        </w:rPr>
        <w:t>万m</w:t>
      </w:r>
      <w:r>
        <w:rPr>
          <w:vertAlign w:val="superscript"/>
        </w:rPr>
        <w:t>3</w:t>
      </w:r>
      <w:r>
        <w:rPr>
          <w:rFonts w:hint="eastAsia"/>
        </w:rPr>
        <w:t>，借方由其他建设项目的弃土及园区管委会调入土方进行回填</w:t>
      </w:r>
      <w:r>
        <w:rPr>
          <w:rFonts w:hint="eastAsia" w:cs="Times New Roman"/>
        </w:rPr>
        <w:t>。</w:t>
      </w:r>
      <w:bookmarkStart w:id="49" w:name="_Toc5825909"/>
      <w:bookmarkStart w:id="50" w:name="_Toc5889"/>
      <w:bookmarkStart w:id="51" w:name="_Toc2534366"/>
    </w:p>
    <w:p>
      <w:pPr>
        <w:pStyle w:val="24"/>
        <w:bidi w:val="0"/>
      </w:pPr>
      <w:r>
        <w:t>表</w:t>
      </w:r>
      <w:r>
        <w:rPr>
          <w:rFonts w:hint="eastAsia"/>
        </w:rPr>
        <w:t>3</w:t>
      </w:r>
      <w:r>
        <w:t>.</w:t>
      </w:r>
      <w:r>
        <w:rPr>
          <w:rFonts w:hint="eastAsia"/>
        </w:rPr>
        <w:t>4</w:t>
      </w:r>
      <w:r>
        <w:t>-</w:t>
      </w:r>
      <w:r>
        <w:rPr>
          <w:rFonts w:hint="eastAsia"/>
        </w:rPr>
        <w:t>1</w:t>
      </w:r>
      <w:r>
        <w:t xml:space="preserve"> 方案设计土石方量     单位：万m</w:t>
      </w:r>
      <w:r>
        <w:rPr>
          <w:vertAlign w:val="superscript"/>
        </w:rPr>
        <w:t>3</w:t>
      </w:r>
    </w:p>
    <w:tbl>
      <w:tblPr>
        <w:tblW w:w="5000"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tblLayout w:type="autofit"/>
        <w:tblCellMar>
          <w:top w:w="0" w:type="dxa"/>
          <w:left w:w="0" w:type="dxa"/>
          <w:bottom w:w="0" w:type="dxa"/>
          <w:right w:w="0" w:type="dxa"/>
        </w:tblCellMar>
      </w:tblPr>
      <w:tblGrid>
        <w:gridCol w:w="1021"/>
        <w:gridCol w:w="1939"/>
        <w:gridCol w:w="1023"/>
        <w:gridCol w:w="1023"/>
        <w:gridCol w:w="1023"/>
        <w:gridCol w:w="1023"/>
        <w:gridCol w:w="1024"/>
        <w:gridCol w:w="1024"/>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tblCellMar>
            <w:top w:w="0" w:type="dxa"/>
            <w:left w:w="0" w:type="dxa"/>
            <w:bottom w:w="0" w:type="dxa"/>
            <w:right w:w="0" w:type="dxa"/>
          </w:tblCellMar>
        </w:tblPrEx>
        <w:trPr>
          <w:trHeight w:val="285" w:hRule="atLeast"/>
        </w:trPr>
        <w:tc>
          <w:tcPr>
            <w:tcW w:w="561" w:type="pct"/>
            <w:tcBorders>
              <w:tl2br w:val="nil"/>
              <w:tr2bl w:val="nil"/>
            </w:tcBorders>
            <w:shd w:val="clear"/>
            <w:noWrap/>
            <w:tcMar>
              <w:top w:w="15" w:type="dxa"/>
              <w:left w:w="15" w:type="dxa"/>
              <w:right w:w="15" w:type="dxa"/>
            </w:tcMar>
            <w:vAlign w:val="bottom"/>
          </w:tcPr>
          <w:p>
            <w:pPr>
              <w:pStyle w:val="23"/>
              <w:bidi w:val="0"/>
            </w:pPr>
            <w:r>
              <w:br w:type="page"/>
            </w:r>
            <w:r>
              <w:rPr>
                <w:rFonts w:hint="eastAsia"/>
                <w:lang w:val="en-US" w:eastAsia="zh-CN"/>
              </w:rPr>
              <w:t>序号</w:t>
            </w:r>
          </w:p>
        </w:tc>
        <w:tc>
          <w:tcPr>
            <w:tcW w:w="1065" w:type="pct"/>
            <w:tcBorders>
              <w:tl2br w:val="nil"/>
              <w:tr2bl w:val="nil"/>
            </w:tcBorders>
            <w:shd w:val="clear"/>
            <w:noWrap/>
            <w:tcMar>
              <w:top w:w="15" w:type="dxa"/>
              <w:left w:w="15" w:type="dxa"/>
              <w:right w:w="15" w:type="dxa"/>
            </w:tcMar>
            <w:vAlign w:val="bottom"/>
          </w:tcPr>
          <w:p>
            <w:pPr>
              <w:pStyle w:val="23"/>
              <w:bidi w:val="0"/>
              <w:rPr>
                <w:rFonts w:hint="eastAsia"/>
              </w:rPr>
            </w:pPr>
            <w:r>
              <w:rPr>
                <w:rFonts w:hint="eastAsia"/>
                <w:lang w:val="en-US" w:eastAsia="zh-CN"/>
              </w:rPr>
              <w:t>项目</w:t>
            </w:r>
          </w:p>
        </w:tc>
        <w:tc>
          <w:tcPr>
            <w:tcW w:w="562" w:type="pct"/>
            <w:tcBorders>
              <w:tl2br w:val="nil"/>
              <w:tr2bl w:val="nil"/>
            </w:tcBorders>
            <w:shd w:val="clear"/>
            <w:noWrap/>
            <w:tcMar>
              <w:top w:w="15" w:type="dxa"/>
              <w:left w:w="15" w:type="dxa"/>
              <w:right w:w="15" w:type="dxa"/>
            </w:tcMar>
            <w:vAlign w:val="bottom"/>
          </w:tcPr>
          <w:p>
            <w:pPr>
              <w:pStyle w:val="23"/>
              <w:bidi w:val="0"/>
              <w:rPr>
                <w:rFonts w:hint="eastAsia"/>
              </w:rPr>
            </w:pPr>
            <w:r>
              <w:rPr>
                <w:rFonts w:hint="eastAsia"/>
                <w:lang w:val="en-US" w:eastAsia="zh-CN"/>
              </w:rPr>
              <w:t xml:space="preserve"> 挖方</w:t>
            </w:r>
          </w:p>
        </w:tc>
        <w:tc>
          <w:tcPr>
            <w:tcW w:w="562" w:type="pct"/>
            <w:tcBorders>
              <w:tl2br w:val="nil"/>
              <w:tr2bl w:val="nil"/>
            </w:tcBorders>
            <w:shd w:val="clear"/>
            <w:noWrap/>
            <w:tcMar>
              <w:top w:w="15" w:type="dxa"/>
              <w:left w:w="15" w:type="dxa"/>
              <w:right w:w="15" w:type="dxa"/>
            </w:tcMar>
            <w:vAlign w:val="bottom"/>
          </w:tcPr>
          <w:p>
            <w:pPr>
              <w:pStyle w:val="23"/>
              <w:bidi w:val="0"/>
              <w:rPr>
                <w:rFonts w:hint="eastAsia"/>
              </w:rPr>
            </w:pPr>
            <w:r>
              <w:rPr>
                <w:rFonts w:hint="eastAsia"/>
                <w:lang w:val="en-US" w:eastAsia="zh-CN"/>
              </w:rPr>
              <w:t>填方</w:t>
            </w:r>
          </w:p>
        </w:tc>
        <w:tc>
          <w:tcPr>
            <w:tcW w:w="562" w:type="pct"/>
            <w:tcBorders>
              <w:tl2br w:val="nil"/>
              <w:tr2bl w:val="nil"/>
            </w:tcBorders>
            <w:shd w:val="clear"/>
            <w:noWrap/>
            <w:tcMar>
              <w:top w:w="15" w:type="dxa"/>
              <w:left w:w="15" w:type="dxa"/>
              <w:right w:w="15" w:type="dxa"/>
            </w:tcMar>
            <w:vAlign w:val="bottom"/>
          </w:tcPr>
          <w:p>
            <w:pPr>
              <w:pStyle w:val="23"/>
              <w:bidi w:val="0"/>
              <w:rPr>
                <w:rFonts w:hint="eastAsia"/>
              </w:rPr>
            </w:pPr>
            <w:r>
              <w:rPr>
                <w:rFonts w:hint="eastAsia"/>
                <w:lang w:val="en-US" w:eastAsia="zh-CN"/>
              </w:rPr>
              <w:t>调入</w:t>
            </w:r>
          </w:p>
        </w:tc>
        <w:tc>
          <w:tcPr>
            <w:tcW w:w="562" w:type="pct"/>
            <w:tcBorders>
              <w:tl2br w:val="nil"/>
              <w:tr2bl w:val="nil"/>
            </w:tcBorders>
            <w:shd w:val="clear"/>
            <w:noWrap/>
            <w:tcMar>
              <w:top w:w="15" w:type="dxa"/>
              <w:left w:w="15" w:type="dxa"/>
              <w:right w:w="15" w:type="dxa"/>
            </w:tcMar>
            <w:vAlign w:val="bottom"/>
          </w:tcPr>
          <w:p>
            <w:pPr>
              <w:pStyle w:val="23"/>
              <w:bidi w:val="0"/>
              <w:rPr>
                <w:rFonts w:hint="eastAsia"/>
              </w:rPr>
            </w:pPr>
            <w:r>
              <w:rPr>
                <w:rFonts w:hint="eastAsia"/>
                <w:lang w:val="en-US" w:eastAsia="zh-CN"/>
              </w:rPr>
              <w:t>调出</w:t>
            </w:r>
          </w:p>
        </w:tc>
        <w:tc>
          <w:tcPr>
            <w:tcW w:w="562" w:type="pct"/>
            <w:tcBorders>
              <w:tl2br w:val="nil"/>
              <w:tr2bl w:val="nil"/>
            </w:tcBorders>
            <w:shd w:val="clear"/>
            <w:noWrap/>
            <w:tcMar>
              <w:top w:w="15" w:type="dxa"/>
              <w:left w:w="15" w:type="dxa"/>
              <w:right w:w="15" w:type="dxa"/>
            </w:tcMar>
            <w:vAlign w:val="bottom"/>
          </w:tcPr>
          <w:p>
            <w:pPr>
              <w:pStyle w:val="23"/>
              <w:bidi w:val="0"/>
              <w:rPr>
                <w:rFonts w:hint="eastAsia"/>
              </w:rPr>
            </w:pPr>
            <w:r>
              <w:rPr>
                <w:rFonts w:hint="eastAsia"/>
                <w:lang w:val="en-US" w:eastAsia="zh-CN"/>
              </w:rPr>
              <w:t>借方</w:t>
            </w:r>
          </w:p>
        </w:tc>
        <w:tc>
          <w:tcPr>
            <w:tcW w:w="562" w:type="pct"/>
            <w:tcBorders>
              <w:tl2br w:val="nil"/>
              <w:tr2bl w:val="nil"/>
            </w:tcBorders>
            <w:shd w:val="clear"/>
            <w:noWrap/>
            <w:tcMar>
              <w:top w:w="15" w:type="dxa"/>
              <w:left w:w="15" w:type="dxa"/>
              <w:right w:w="15" w:type="dxa"/>
            </w:tcMar>
            <w:vAlign w:val="bottom"/>
          </w:tcPr>
          <w:p>
            <w:pPr>
              <w:pStyle w:val="23"/>
              <w:bidi w:val="0"/>
              <w:rPr>
                <w:rFonts w:hint="eastAsia"/>
              </w:rPr>
            </w:pPr>
            <w:r>
              <w:rPr>
                <w:rFonts w:hint="eastAsia"/>
                <w:lang w:val="en-US" w:eastAsia="zh-CN"/>
              </w:rPr>
              <w:t>弃方</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561" w:type="pct"/>
            <w:tcBorders>
              <w:tl2br w:val="nil"/>
              <w:tr2bl w:val="nil"/>
            </w:tcBorders>
            <w:shd w:val="clear"/>
            <w:noWrap/>
            <w:tcMar>
              <w:top w:w="15" w:type="dxa"/>
              <w:left w:w="15" w:type="dxa"/>
              <w:right w:w="15" w:type="dxa"/>
            </w:tcMar>
            <w:vAlign w:val="bottom"/>
          </w:tcPr>
          <w:p>
            <w:pPr>
              <w:pStyle w:val="23"/>
              <w:bidi w:val="0"/>
              <w:rPr>
                <w:rFonts w:hint="eastAsia"/>
              </w:rPr>
            </w:pPr>
            <w:r>
              <w:rPr>
                <w:rFonts w:hint="eastAsia"/>
                <w:lang w:val="en-US" w:eastAsia="zh-CN"/>
              </w:rPr>
              <w:t>①</w:t>
            </w:r>
          </w:p>
        </w:tc>
        <w:tc>
          <w:tcPr>
            <w:tcW w:w="1065" w:type="pct"/>
            <w:tcBorders>
              <w:tl2br w:val="nil"/>
              <w:tr2bl w:val="nil"/>
            </w:tcBorders>
            <w:shd w:val="clear"/>
            <w:noWrap/>
            <w:tcMar>
              <w:top w:w="15" w:type="dxa"/>
              <w:left w:w="15" w:type="dxa"/>
              <w:right w:w="15" w:type="dxa"/>
            </w:tcMar>
            <w:vAlign w:val="bottom"/>
          </w:tcPr>
          <w:p>
            <w:pPr>
              <w:pStyle w:val="23"/>
              <w:bidi w:val="0"/>
              <w:rPr>
                <w:rFonts w:hint="eastAsia"/>
              </w:rPr>
            </w:pPr>
            <w:r>
              <w:rPr>
                <w:rFonts w:hint="eastAsia"/>
                <w:lang w:val="en-US" w:eastAsia="zh-CN"/>
              </w:rPr>
              <w:t>表土剥离与回覆</w:t>
            </w:r>
          </w:p>
        </w:tc>
        <w:tc>
          <w:tcPr>
            <w:tcW w:w="562" w:type="pct"/>
            <w:tcBorders>
              <w:tl2br w:val="nil"/>
              <w:tr2bl w:val="nil"/>
            </w:tcBorders>
            <w:shd w:val="clear"/>
            <w:noWrap/>
            <w:tcMar>
              <w:top w:w="15" w:type="dxa"/>
              <w:left w:w="15" w:type="dxa"/>
              <w:right w:w="15" w:type="dxa"/>
            </w:tcMar>
            <w:vAlign w:val="bottom"/>
          </w:tcPr>
          <w:p>
            <w:pPr>
              <w:pStyle w:val="23"/>
              <w:bidi w:val="0"/>
              <w:rPr>
                <w:rFonts w:hint="eastAsia"/>
              </w:rPr>
            </w:pPr>
            <w:r>
              <w:rPr>
                <w:rFonts w:hint="eastAsia"/>
                <w:lang w:val="en-US" w:eastAsia="zh-CN"/>
              </w:rPr>
              <w:t>0.09</w:t>
            </w:r>
          </w:p>
        </w:tc>
        <w:tc>
          <w:tcPr>
            <w:tcW w:w="562" w:type="pct"/>
            <w:tcBorders>
              <w:tl2br w:val="nil"/>
              <w:tr2bl w:val="nil"/>
            </w:tcBorders>
            <w:shd w:val="clear"/>
            <w:noWrap/>
            <w:tcMar>
              <w:top w:w="15" w:type="dxa"/>
              <w:left w:w="15" w:type="dxa"/>
              <w:right w:w="15" w:type="dxa"/>
            </w:tcMar>
            <w:vAlign w:val="bottom"/>
          </w:tcPr>
          <w:p>
            <w:pPr>
              <w:pStyle w:val="23"/>
              <w:bidi w:val="0"/>
              <w:rPr>
                <w:rFonts w:hint="eastAsia"/>
              </w:rPr>
            </w:pPr>
            <w:r>
              <w:rPr>
                <w:rFonts w:hint="eastAsia"/>
                <w:lang w:val="en-US" w:eastAsia="zh-CN"/>
              </w:rPr>
              <w:t>0.09</w:t>
            </w:r>
          </w:p>
        </w:tc>
        <w:tc>
          <w:tcPr>
            <w:tcW w:w="562" w:type="pct"/>
            <w:tcBorders>
              <w:tl2br w:val="nil"/>
              <w:tr2bl w:val="nil"/>
            </w:tcBorders>
            <w:shd w:val="clear"/>
            <w:noWrap/>
            <w:tcMar>
              <w:top w:w="15" w:type="dxa"/>
              <w:left w:w="15" w:type="dxa"/>
              <w:right w:w="15" w:type="dxa"/>
            </w:tcMar>
            <w:vAlign w:val="bottom"/>
          </w:tcPr>
          <w:p>
            <w:pPr>
              <w:pStyle w:val="23"/>
              <w:bidi w:val="0"/>
              <w:rPr>
                <w:rFonts w:hint="eastAsia"/>
              </w:rPr>
            </w:pPr>
          </w:p>
        </w:tc>
        <w:tc>
          <w:tcPr>
            <w:tcW w:w="562" w:type="pct"/>
            <w:tcBorders>
              <w:tl2br w:val="nil"/>
              <w:tr2bl w:val="nil"/>
            </w:tcBorders>
            <w:shd w:val="clear"/>
            <w:noWrap/>
            <w:tcMar>
              <w:top w:w="15" w:type="dxa"/>
              <w:left w:w="15" w:type="dxa"/>
              <w:right w:w="15" w:type="dxa"/>
            </w:tcMar>
            <w:vAlign w:val="bottom"/>
          </w:tcPr>
          <w:p>
            <w:pPr>
              <w:pStyle w:val="23"/>
              <w:bidi w:val="0"/>
              <w:rPr>
                <w:rFonts w:hint="eastAsia"/>
              </w:rPr>
            </w:pPr>
          </w:p>
        </w:tc>
        <w:tc>
          <w:tcPr>
            <w:tcW w:w="562" w:type="pct"/>
            <w:tcBorders>
              <w:tl2br w:val="nil"/>
              <w:tr2bl w:val="nil"/>
            </w:tcBorders>
            <w:shd w:val="clear"/>
            <w:noWrap/>
            <w:tcMar>
              <w:top w:w="15" w:type="dxa"/>
              <w:left w:w="15" w:type="dxa"/>
              <w:right w:w="15" w:type="dxa"/>
            </w:tcMar>
            <w:vAlign w:val="bottom"/>
          </w:tcPr>
          <w:p>
            <w:pPr>
              <w:pStyle w:val="23"/>
              <w:bidi w:val="0"/>
              <w:rPr>
                <w:rFonts w:hint="eastAsia"/>
              </w:rPr>
            </w:pPr>
          </w:p>
        </w:tc>
        <w:tc>
          <w:tcPr>
            <w:tcW w:w="562" w:type="pct"/>
            <w:tcBorders>
              <w:tl2br w:val="nil"/>
              <w:tr2bl w:val="nil"/>
            </w:tcBorders>
            <w:shd w:val="clear"/>
            <w:noWrap/>
            <w:tcMar>
              <w:top w:w="15" w:type="dxa"/>
              <w:left w:w="15" w:type="dxa"/>
              <w:right w:w="15" w:type="dxa"/>
            </w:tcMar>
            <w:vAlign w:val="bottom"/>
          </w:tcPr>
          <w:p>
            <w:pPr>
              <w:pStyle w:val="23"/>
              <w:bidi w:val="0"/>
              <w:rPr>
                <w:rFonts w:hint="eastAsia"/>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561" w:type="pct"/>
            <w:tcBorders>
              <w:tl2br w:val="nil"/>
              <w:tr2bl w:val="nil"/>
            </w:tcBorders>
            <w:shd w:val="clear"/>
            <w:noWrap/>
            <w:tcMar>
              <w:top w:w="15" w:type="dxa"/>
              <w:left w:w="15" w:type="dxa"/>
              <w:right w:w="15" w:type="dxa"/>
            </w:tcMar>
            <w:vAlign w:val="bottom"/>
          </w:tcPr>
          <w:p>
            <w:pPr>
              <w:pStyle w:val="23"/>
              <w:bidi w:val="0"/>
              <w:rPr>
                <w:rFonts w:hint="eastAsia"/>
              </w:rPr>
            </w:pPr>
            <w:r>
              <w:rPr>
                <w:rFonts w:hint="eastAsia"/>
                <w:lang w:val="en-US" w:eastAsia="zh-CN"/>
              </w:rPr>
              <w:t>②</w:t>
            </w:r>
          </w:p>
        </w:tc>
        <w:tc>
          <w:tcPr>
            <w:tcW w:w="1065" w:type="pct"/>
            <w:tcBorders>
              <w:tl2br w:val="nil"/>
              <w:tr2bl w:val="nil"/>
            </w:tcBorders>
            <w:shd w:val="clear"/>
            <w:noWrap/>
            <w:tcMar>
              <w:top w:w="15" w:type="dxa"/>
              <w:left w:w="15" w:type="dxa"/>
              <w:right w:w="15" w:type="dxa"/>
            </w:tcMar>
            <w:vAlign w:val="bottom"/>
          </w:tcPr>
          <w:p>
            <w:pPr>
              <w:pStyle w:val="23"/>
              <w:bidi w:val="0"/>
              <w:rPr>
                <w:rFonts w:hint="eastAsia"/>
              </w:rPr>
            </w:pPr>
            <w:r>
              <w:rPr>
                <w:rFonts w:hint="eastAsia"/>
                <w:lang w:val="en-US" w:eastAsia="zh-CN"/>
              </w:rPr>
              <w:t>场地平整</w:t>
            </w:r>
          </w:p>
        </w:tc>
        <w:tc>
          <w:tcPr>
            <w:tcW w:w="562" w:type="pct"/>
            <w:tcBorders>
              <w:tl2br w:val="nil"/>
              <w:tr2bl w:val="nil"/>
            </w:tcBorders>
            <w:shd w:val="clear"/>
            <w:noWrap/>
            <w:tcMar>
              <w:top w:w="15" w:type="dxa"/>
              <w:left w:w="15" w:type="dxa"/>
              <w:right w:w="15" w:type="dxa"/>
            </w:tcMar>
            <w:vAlign w:val="bottom"/>
          </w:tcPr>
          <w:p>
            <w:pPr>
              <w:pStyle w:val="23"/>
              <w:bidi w:val="0"/>
              <w:rPr>
                <w:rFonts w:hint="eastAsia"/>
              </w:rPr>
            </w:pPr>
            <w:r>
              <w:rPr>
                <w:rFonts w:hint="eastAsia"/>
                <w:lang w:val="en-US" w:eastAsia="zh-CN"/>
              </w:rPr>
              <w:t>2.41</w:t>
            </w:r>
          </w:p>
        </w:tc>
        <w:tc>
          <w:tcPr>
            <w:tcW w:w="562" w:type="pct"/>
            <w:tcBorders>
              <w:tl2br w:val="nil"/>
              <w:tr2bl w:val="nil"/>
            </w:tcBorders>
            <w:shd w:val="clear"/>
            <w:noWrap/>
            <w:tcMar>
              <w:top w:w="15" w:type="dxa"/>
              <w:left w:w="15" w:type="dxa"/>
              <w:right w:w="15" w:type="dxa"/>
            </w:tcMar>
            <w:vAlign w:val="bottom"/>
          </w:tcPr>
          <w:p>
            <w:pPr>
              <w:pStyle w:val="23"/>
              <w:bidi w:val="0"/>
              <w:rPr>
                <w:rFonts w:hint="eastAsia"/>
              </w:rPr>
            </w:pPr>
            <w:r>
              <w:rPr>
                <w:rFonts w:hint="eastAsia"/>
                <w:lang w:val="en-US" w:eastAsia="zh-CN"/>
              </w:rPr>
              <w:t>12.41</w:t>
            </w:r>
          </w:p>
        </w:tc>
        <w:tc>
          <w:tcPr>
            <w:tcW w:w="562" w:type="pct"/>
            <w:tcBorders>
              <w:tl2br w:val="nil"/>
              <w:tr2bl w:val="nil"/>
            </w:tcBorders>
            <w:shd w:val="clear"/>
            <w:noWrap/>
            <w:tcMar>
              <w:top w:w="15" w:type="dxa"/>
              <w:left w:w="15" w:type="dxa"/>
              <w:right w:w="15" w:type="dxa"/>
            </w:tcMar>
            <w:vAlign w:val="bottom"/>
          </w:tcPr>
          <w:p>
            <w:pPr>
              <w:pStyle w:val="23"/>
              <w:bidi w:val="0"/>
              <w:rPr>
                <w:rFonts w:hint="eastAsia"/>
              </w:rPr>
            </w:pPr>
            <w:r>
              <w:rPr>
                <w:rFonts w:hint="eastAsia"/>
                <w:lang w:val="en-US" w:eastAsia="zh-CN"/>
              </w:rPr>
              <w:t>10</w:t>
            </w:r>
          </w:p>
        </w:tc>
        <w:tc>
          <w:tcPr>
            <w:tcW w:w="562" w:type="pct"/>
            <w:tcBorders>
              <w:tl2br w:val="nil"/>
              <w:tr2bl w:val="nil"/>
            </w:tcBorders>
            <w:shd w:val="clear"/>
            <w:noWrap/>
            <w:tcMar>
              <w:top w:w="15" w:type="dxa"/>
              <w:left w:w="15" w:type="dxa"/>
              <w:right w:w="15" w:type="dxa"/>
            </w:tcMar>
            <w:vAlign w:val="bottom"/>
          </w:tcPr>
          <w:p>
            <w:pPr>
              <w:pStyle w:val="23"/>
              <w:bidi w:val="0"/>
              <w:rPr>
                <w:rFonts w:hint="eastAsia"/>
              </w:rPr>
            </w:pPr>
          </w:p>
        </w:tc>
        <w:tc>
          <w:tcPr>
            <w:tcW w:w="562" w:type="pct"/>
            <w:tcBorders>
              <w:tl2br w:val="nil"/>
              <w:tr2bl w:val="nil"/>
            </w:tcBorders>
            <w:shd w:val="clear"/>
            <w:noWrap/>
            <w:tcMar>
              <w:top w:w="15" w:type="dxa"/>
              <w:left w:w="15" w:type="dxa"/>
              <w:right w:w="15" w:type="dxa"/>
            </w:tcMar>
            <w:vAlign w:val="bottom"/>
          </w:tcPr>
          <w:p>
            <w:pPr>
              <w:pStyle w:val="23"/>
              <w:bidi w:val="0"/>
              <w:rPr>
                <w:rFonts w:hint="eastAsia"/>
              </w:rPr>
            </w:pPr>
            <w:r>
              <w:rPr>
                <w:rFonts w:hint="eastAsia"/>
                <w:lang w:val="en-US" w:eastAsia="zh-CN"/>
              </w:rPr>
              <w:t>10</w:t>
            </w:r>
          </w:p>
        </w:tc>
        <w:tc>
          <w:tcPr>
            <w:tcW w:w="562" w:type="pct"/>
            <w:tcBorders>
              <w:tl2br w:val="nil"/>
              <w:tr2bl w:val="nil"/>
            </w:tcBorders>
            <w:shd w:val="clear"/>
            <w:noWrap/>
            <w:tcMar>
              <w:top w:w="15" w:type="dxa"/>
              <w:left w:w="15" w:type="dxa"/>
              <w:right w:w="15" w:type="dxa"/>
            </w:tcMar>
            <w:vAlign w:val="bottom"/>
          </w:tcPr>
          <w:p>
            <w:pPr>
              <w:pStyle w:val="23"/>
              <w:bidi w:val="0"/>
              <w:rPr>
                <w:rFonts w:hint="eastAsia"/>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561" w:type="pct"/>
            <w:tcBorders>
              <w:tl2br w:val="nil"/>
              <w:tr2bl w:val="nil"/>
            </w:tcBorders>
            <w:shd w:val="clear"/>
            <w:noWrap/>
            <w:tcMar>
              <w:top w:w="15" w:type="dxa"/>
              <w:left w:w="15" w:type="dxa"/>
              <w:right w:w="15" w:type="dxa"/>
            </w:tcMar>
            <w:vAlign w:val="bottom"/>
          </w:tcPr>
          <w:p>
            <w:pPr>
              <w:pStyle w:val="23"/>
              <w:bidi w:val="0"/>
              <w:rPr>
                <w:rFonts w:hint="eastAsia"/>
              </w:rPr>
            </w:pPr>
            <w:r>
              <w:rPr>
                <w:rFonts w:hint="eastAsia"/>
                <w:lang w:val="en-US" w:eastAsia="zh-CN"/>
              </w:rPr>
              <w:t>③</w:t>
            </w:r>
          </w:p>
        </w:tc>
        <w:tc>
          <w:tcPr>
            <w:tcW w:w="1065" w:type="pct"/>
            <w:tcBorders>
              <w:tl2br w:val="nil"/>
              <w:tr2bl w:val="nil"/>
            </w:tcBorders>
            <w:shd w:val="clear"/>
            <w:noWrap/>
            <w:tcMar>
              <w:top w:w="15" w:type="dxa"/>
              <w:left w:w="15" w:type="dxa"/>
              <w:right w:w="15" w:type="dxa"/>
            </w:tcMar>
            <w:vAlign w:val="bottom"/>
          </w:tcPr>
          <w:p>
            <w:pPr>
              <w:pStyle w:val="23"/>
              <w:bidi w:val="0"/>
              <w:rPr>
                <w:rFonts w:hint="eastAsia"/>
              </w:rPr>
            </w:pPr>
            <w:r>
              <w:rPr>
                <w:rFonts w:hint="eastAsia"/>
                <w:lang w:val="en-US" w:eastAsia="zh-CN"/>
              </w:rPr>
              <w:t>工程建设期</w:t>
            </w:r>
          </w:p>
        </w:tc>
        <w:tc>
          <w:tcPr>
            <w:tcW w:w="562" w:type="pct"/>
            <w:tcBorders>
              <w:tl2br w:val="nil"/>
              <w:tr2bl w:val="nil"/>
            </w:tcBorders>
            <w:shd w:val="clear"/>
            <w:noWrap/>
            <w:tcMar>
              <w:top w:w="15" w:type="dxa"/>
              <w:left w:w="15" w:type="dxa"/>
              <w:right w:w="15" w:type="dxa"/>
            </w:tcMar>
            <w:vAlign w:val="bottom"/>
          </w:tcPr>
          <w:p>
            <w:pPr>
              <w:pStyle w:val="23"/>
              <w:bidi w:val="0"/>
              <w:rPr>
                <w:rFonts w:hint="eastAsia"/>
              </w:rPr>
            </w:pPr>
            <w:r>
              <w:rPr>
                <w:rFonts w:hint="eastAsia"/>
                <w:lang w:val="en-US" w:eastAsia="zh-CN"/>
              </w:rPr>
              <w:t>0.39</w:t>
            </w:r>
          </w:p>
        </w:tc>
        <w:tc>
          <w:tcPr>
            <w:tcW w:w="562" w:type="pct"/>
            <w:tcBorders>
              <w:tl2br w:val="nil"/>
              <w:tr2bl w:val="nil"/>
            </w:tcBorders>
            <w:shd w:val="clear"/>
            <w:noWrap/>
            <w:tcMar>
              <w:top w:w="15" w:type="dxa"/>
              <w:left w:w="15" w:type="dxa"/>
              <w:right w:w="15" w:type="dxa"/>
            </w:tcMar>
            <w:vAlign w:val="bottom"/>
          </w:tcPr>
          <w:p>
            <w:pPr>
              <w:pStyle w:val="23"/>
              <w:bidi w:val="0"/>
              <w:rPr>
                <w:rFonts w:hint="eastAsia"/>
              </w:rPr>
            </w:pPr>
            <w:r>
              <w:rPr>
                <w:rFonts w:hint="eastAsia"/>
                <w:lang w:val="en-US" w:eastAsia="zh-CN"/>
              </w:rPr>
              <w:t>0.39</w:t>
            </w:r>
          </w:p>
        </w:tc>
        <w:tc>
          <w:tcPr>
            <w:tcW w:w="562" w:type="pct"/>
            <w:tcBorders>
              <w:tl2br w:val="nil"/>
              <w:tr2bl w:val="nil"/>
            </w:tcBorders>
            <w:shd w:val="clear"/>
            <w:noWrap/>
            <w:tcMar>
              <w:top w:w="15" w:type="dxa"/>
              <w:left w:w="15" w:type="dxa"/>
              <w:right w:w="15" w:type="dxa"/>
            </w:tcMar>
            <w:vAlign w:val="bottom"/>
          </w:tcPr>
          <w:p>
            <w:pPr>
              <w:pStyle w:val="23"/>
              <w:bidi w:val="0"/>
              <w:rPr>
                <w:rFonts w:hint="eastAsia"/>
              </w:rPr>
            </w:pPr>
          </w:p>
        </w:tc>
        <w:tc>
          <w:tcPr>
            <w:tcW w:w="562" w:type="pct"/>
            <w:tcBorders>
              <w:tl2br w:val="nil"/>
              <w:tr2bl w:val="nil"/>
            </w:tcBorders>
            <w:shd w:val="clear"/>
            <w:noWrap/>
            <w:tcMar>
              <w:top w:w="15" w:type="dxa"/>
              <w:left w:w="15" w:type="dxa"/>
              <w:right w:w="15" w:type="dxa"/>
            </w:tcMar>
            <w:vAlign w:val="bottom"/>
          </w:tcPr>
          <w:p>
            <w:pPr>
              <w:pStyle w:val="23"/>
              <w:bidi w:val="0"/>
              <w:rPr>
                <w:rFonts w:hint="eastAsia"/>
              </w:rPr>
            </w:pPr>
          </w:p>
        </w:tc>
        <w:tc>
          <w:tcPr>
            <w:tcW w:w="562" w:type="pct"/>
            <w:tcBorders>
              <w:tl2br w:val="nil"/>
              <w:tr2bl w:val="nil"/>
            </w:tcBorders>
            <w:shd w:val="clear"/>
            <w:noWrap/>
            <w:tcMar>
              <w:top w:w="15" w:type="dxa"/>
              <w:left w:w="15" w:type="dxa"/>
              <w:right w:w="15" w:type="dxa"/>
            </w:tcMar>
            <w:vAlign w:val="bottom"/>
          </w:tcPr>
          <w:p>
            <w:pPr>
              <w:pStyle w:val="23"/>
              <w:bidi w:val="0"/>
              <w:rPr>
                <w:rFonts w:hint="eastAsia"/>
              </w:rPr>
            </w:pPr>
          </w:p>
        </w:tc>
        <w:tc>
          <w:tcPr>
            <w:tcW w:w="562" w:type="pct"/>
            <w:tcBorders>
              <w:tl2br w:val="nil"/>
              <w:tr2bl w:val="nil"/>
            </w:tcBorders>
            <w:shd w:val="clear"/>
            <w:noWrap/>
            <w:tcMar>
              <w:top w:w="15" w:type="dxa"/>
              <w:left w:w="15" w:type="dxa"/>
              <w:right w:w="15" w:type="dxa"/>
            </w:tcMar>
            <w:vAlign w:val="bottom"/>
          </w:tcPr>
          <w:p>
            <w:pPr>
              <w:pStyle w:val="23"/>
              <w:bidi w:val="0"/>
              <w:rPr>
                <w:rFonts w:hint="eastAsia"/>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561" w:type="pct"/>
            <w:tcBorders>
              <w:tl2br w:val="nil"/>
              <w:tr2bl w:val="nil"/>
            </w:tcBorders>
            <w:shd w:val="clear"/>
            <w:noWrap/>
            <w:tcMar>
              <w:top w:w="15" w:type="dxa"/>
              <w:left w:w="15" w:type="dxa"/>
              <w:right w:w="15" w:type="dxa"/>
            </w:tcMar>
            <w:vAlign w:val="bottom"/>
          </w:tcPr>
          <w:p>
            <w:pPr>
              <w:pStyle w:val="23"/>
              <w:bidi w:val="0"/>
              <w:rPr>
                <w:rFonts w:hint="eastAsia"/>
              </w:rPr>
            </w:pPr>
            <w:r>
              <w:rPr>
                <w:rFonts w:hint="eastAsia"/>
                <w:lang w:val="en-US" w:eastAsia="zh-CN"/>
              </w:rPr>
              <w:t>合计</w:t>
            </w:r>
          </w:p>
        </w:tc>
        <w:tc>
          <w:tcPr>
            <w:tcW w:w="1065" w:type="pct"/>
            <w:tcBorders>
              <w:tl2br w:val="nil"/>
              <w:tr2bl w:val="nil"/>
            </w:tcBorders>
            <w:shd w:val="clear"/>
            <w:noWrap/>
            <w:tcMar>
              <w:top w:w="15" w:type="dxa"/>
              <w:left w:w="15" w:type="dxa"/>
              <w:right w:w="15" w:type="dxa"/>
            </w:tcMar>
            <w:vAlign w:val="bottom"/>
          </w:tcPr>
          <w:p>
            <w:pPr>
              <w:pStyle w:val="23"/>
              <w:bidi w:val="0"/>
              <w:rPr>
                <w:rFonts w:hint="eastAsia"/>
              </w:rPr>
            </w:pPr>
          </w:p>
        </w:tc>
        <w:tc>
          <w:tcPr>
            <w:tcW w:w="562" w:type="pct"/>
            <w:tcBorders>
              <w:tl2br w:val="nil"/>
              <w:tr2bl w:val="nil"/>
            </w:tcBorders>
            <w:shd w:val="clear"/>
            <w:noWrap/>
            <w:tcMar>
              <w:top w:w="15" w:type="dxa"/>
              <w:left w:w="15" w:type="dxa"/>
              <w:right w:w="15" w:type="dxa"/>
            </w:tcMar>
            <w:vAlign w:val="bottom"/>
          </w:tcPr>
          <w:p>
            <w:pPr>
              <w:pStyle w:val="23"/>
              <w:bidi w:val="0"/>
              <w:rPr>
                <w:rFonts w:hint="eastAsia"/>
              </w:rPr>
            </w:pPr>
            <w:r>
              <w:rPr>
                <w:rFonts w:hint="eastAsia"/>
                <w:lang w:val="en-US" w:eastAsia="zh-CN"/>
              </w:rPr>
              <w:t>2.89</w:t>
            </w:r>
          </w:p>
        </w:tc>
        <w:tc>
          <w:tcPr>
            <w:tcW w:w="562" w:type="pct"/>
            <w:tcBorders>
              <w:tl2br w:val="nil"/>
              <w:tr2bl w:val="nil"/>
            </w:tcBorders>
            <w:shd w:val="clear"/>
            <w:noWrap/>
            <w:tcMar>
              <w:top w:w="15" w:type="dxa"/>
              <w:left w:w="15" w:type="dxa"/>
              <w:right w:w="15" w:type="dxa"/>
            </w:tcMar>
            <w:vAlign w:val="bottom"/>
          </w:tcPr>
          <w:p>
            <w:pPr>
              <w:pStyle w:val="23"/>
              <w:bidi w:val="0"/>
              <w:rPr>
                <w:rFonts w:hint="eastAsia"/>
              </w:rPr>
            </w:pPr>
            <w:r>
              <w:rPr>
                <w:rFonts w:hint="eastAsia"/>
                <w:lang w:val="en-US" w:eastAsia="zh-CN"/>
              </w:rPr>
              <w:t>12.89</w:t>
            </w:r>
          </w:p>
        </w:tc>
        <w:tc>
          <w:tcPr>
            <w:tcW w:w="562" w:type="pct"/>
            <w:tcBorders>
              <w:tl2br w:val="nil"/>
              <w:tr2bl w:val="nil"/>
            </w:tcBorders>
            <w:shd w:val="clear"/>
            <w:noWrap/>
            <w:tcMar>
              <w:top w:w="15" w:type="dxa"/>
              <w:left w:w="15" w:type="dxa"/>
              <w:right w:w="15" w:type="dxa"/>
            </w:tcMar>
            <w:vAlign w:val="bottom"/>
          </w:tcPr>
          <w:p>
            <w:pPr>
              <w:pStyle w:val="23"/>
              <w:bidi w:val="0"/>
              <w:rPr>
                <w:rFonts w:hint="eastAsia"/>
              </w:rPr>
            </w:pPr>
            <w:r>
              <w:rPr>
                <w:rFonts w:hint="eastAsia"/>
                <w:lang w:val="en-US" w:eastAsia="zh-CN"/>
              </w:rPr>
              <w:t>10</w:t>
            </w:r>
          </w:p>
        </w:tc>
        <w:tc>
          <w:tcPr>
            <w:tcW w:w="562" w:type="pct"/>
            <w:tcBorders>
              <w:tl2br w:val="nil"/>
              <w:tr2bl w:val="nil"/>
            </w:tcBorders>
            <w:shd w:val="clear"/>
            <w:noWrap/>
            <w:tcMar>
              <w:top w:w="15" w:type="dxa"/>
              <w:left w:w="15" w:type="dxa"/>
              <w:right w:w="15" w:type="dxa"/>
            </w:tcMar>
            <w:vAlign w:val="bottom"/>
          </w:tcPr>
          <w:p>
            <w:pPr>
              <w:pStyle w:val="23"/>
              <w:bidi w:val="0"/>
              <w:rPr>
                <w:rFonts w:hint="eastAsia"/>
              </w:rPr>
            </w:pPr>
          </w:p>
        </w:tc>
        <w:tc>
          <w:tcPr>
            <w:tcW w:w="562" w:type="pct"/>
            <w:tcBorders>
              <w:tl2br w:val="nil"/>
              <w:tr2bl w:val="nil"/>
            </w:tcBorders>
            <w:shd w:val="clear"/>
            <w:noWrap/>
            <w:tcMar>
              <w:top w:w="15" w:type="dxa"/>
              <w:left w:w="15" w:type="dxa"/>
              <w:right w:w="15" w:type="dxa"/>
            </w:tcMar>
            <w:vAlign w:val="bottom"/>
          </w:tcPr>
          <w:p>
            <w:pPr>
              <w:pStyle w:val="23"/>
              <w:bidi w:val="0"/>
              <w:rPr>
                <w:rFonts w:hint="eastAsia"/>
              </w:rPr>
            </w:pPr>
            <w:r>
              <w:rPr>
                <w:rFonts w:hint="eastAsia"/>
                <w:lang w:val="en-US" w:eastAsia="zh-CN"/>
              </w:rPr>
              <w:t>10</w:t>
            </w:r>
          </w:p>
        </w:tc>
        <w:tc>
          <w:tcPr>
            <w:tcW w:w="562" w:type="pct"/>
            <w:tcBorders>
              <w:tl2br w:val="nil"/>
              <w:tr2bl w:val="nil"/>
            </w:tcBorders>
            <w:shd w:val="clear"/>
            <w:noWrap/>
            <w:tcMar>
              <w:top w:w="15" w:type="dxa"/>
              <w:left w:w="15" w:type="dxa"/>
              <w:right w:w="15" w:type="dxa"/>
            </w:tcMar>
            <w:vAlign w:val="bottom"/>
          </w:tcPr>
          <w:p>
            <w:pPr>
              <w:pStyle w:val="23"/>
              <w:bidi w:val="0"/>
              <w:rPr>
                <w:rFonts w:hint="eastAsia"/>
              </w:rPr>
            </w:pPr>
          </w:p>
        </w:tc>
      </w:tr>
    </w:tbl>
    <w:p>
      <w:pPr>
        <w:ind w:firstLine="480"/>
        <w:rPr>
          <w:rFonts w:cs="Times New Roman"/>
        </w:rPr>
      </w:pPr>
    </w:p>
    <w:p>
      <w:pPr>
        <w:pStyle w:val="24"/>
        <w:rPr>
          <w:rFonts w:cs="Times New Roman"/>
        </w:rPr>
      </w:pPr>
      <w:r>
        <w:rPr>
          <w:rFonts w:cs="Times New Roman"/>
        </w:rPr>
        <w:t>表</w:t>
      </w:r>
      <w:r>
        <w:rPr>
          <w:rFonts w:hint="eastAsia" w:cs="Times New Roman"/>
        </w:rPr>
        <w:t>3</w:t>
      </w:r>
      <w:r>
        <w:rPr>
          <w:rFonts w:cs="Times New Roman"/>
        </w:rPr>
        <w:t>.</w:t>
      </w:r>
      <w:r>
        <w:rPr>
          <w:rFonts w:hint="eastAsia" w:cs="Times New Roman"/>
        </w:rPr>
        <w:t>4</w:t>
      </w:r>
      <w:r>
        <w:rPr>
          <w:rFonts w:cs="Times New Roman"/>
        </w:rPr>
        <w:t>-</w:t>
      </w:r>
      <w:r>
        <w:rPr>
          <w:rFonts w:hint="eastAsia" w:cs="Times New Roman"/>
        </w:rPr>
        <w:t xml:space="preserve">2 </w:t>
      </w:r>
      <w:r>
        <w:rPr>
          <w:rFonts w:cs="Times New Roman"/>
        </w:rPr>
        <w:t>实际工程土石方量表     单位：万m</w:t>
      </w:r>
      <w:r>
        <w:rPr>
          <w:rFonts w:cs="Times New Roman"/>
          <w:vertAlign w:val="superscript"/>
        </w:rPr>
        <w:t>3</w:t>
      </w:r>
    </w:p>
    <w:tbl>
      <w:tblPr>
        <w:tblStyle w:val="13"/>
        <w:tblW w:w="5000"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autofit"/>
        <w:tblCellMar>
          <w:top w:w="0" w:type="dxa"/>
          <w:left w:w="0" w:type="dxa"/>
          <w:bottom w:w="0" w:type="dxa"/>
          <w:right w:w="0" w:type="dxa"/>
        </w:tblCellMar>
      </w:tblPr>
      <w:tblGrid>
        <w:gridCol w:w="1021"/>
        <w:gridCol w:w="1939"/>
        <w:gridCol w:w="1023"/>
        <w:gridCol w:w="1023"/>
        <w:gridCol w:w="1023"/>
        <w:gridCol w:w="1023"/>
        <w:gridCol w:w="1024"/>
        <w:gridCol w:w="1024"/>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561" w:type="pct"/>
            <w:tcBorders>
              <w:tl2br w:val="nil"/>
              <w:tr2bl w:val="nil"/>
            </w:tcBorders>
            <w:shd w:val="clear" w:color="auto" w:fill="auto"/>
            <w:noWrap/>
            <w:tcMar>
              <w:top w:w="15" w:type="dxa"/>
              <w:left w:w="15" w:type="dxa"/>
              <w:right w:w="15" w:type="dxa"/>
            </w:tcMar>
            <w:vAlign w:val="bottom"/>
          </w:tcPr>
          <w:p>
            <w:pPr>
              <w:pStyle w:val="23"/>
              <w:bidi w:val="0"/>
            </w:pPr>
            <w:r>
              <w:br w:type="page"/>
            </w:r>
            <w:r>
              <w:rPr>
                <w:rFonts w:hint="eastAsia"/>
                <w:lang w:val="en-US" w:eastAsia="zh-CN"/>
              </w:rPr>
              <w:t>序号</w:t>
            </w:r>
          </w:p>
        </w:tc>
        <w:tc>
          <w:tcPr>
            <w:tcW w:w="1065"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项目</w:t>
            </w:r>
          </w:p>
        </w:tc>
        <w:tc>
          <w:tcPr>
            <w:tcW w:w="562"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 xml:space="preserve"> 挖方</w:t>
            </w:r>
          </w:p>
        </w:tc>
        <w:tc>
          <w:tcPr>
            <w:tcW w:w="562"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填方</w:t>
            </w:r>
          </w:p>
        </w:tc>
        <w:tc>
          <w:tcPr>
            <w:tcW w:w="562"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调入</w:t>
            </w:r>
          </w:p>
        </w:tc>
        <w:tc>
          <w:tcPr>
            <w:tcW w:w="562"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调出</w:t>
            </w:r>
          </w:p>
        </w:tc>
        <w:tc>
          <w:tcPr>
            <w:tcW w:w="562"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借方</w:t>
            </w:r>
          </w:p>
        </w:tc>
        <w:tc>
          <w:tcPr>
            <w:tcW w:w="562"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弃方</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561"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①</w:t>
            </w:r>
          </w:p>
        </w:tc>
        <w:tc>
          <w:tcPr>
            <w:tcW w:w="1065"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表土剥离与回覆</w:t>
            </w:r>
          </w:p>
        </w:tc>
        <w:tc>
          <w:tcPr>
            <w:tcW w:w="562"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0.09</w:t>
            </w:r>
          </w:p>
        </w:tc>
        <w:tc>
          <w:tcPr>
            <w:tcW w:w="562"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0.09</w:t>
            </w:r>
          </w:p>
        </w:tc>
        <w:tc>
          <w:tcPr>
            <w:tcW w:w="562" w:type="pct"/>
            <w:tcBorders>
              <w:tl2br w:val="nil"/>
              <w:tr2bl w:val="nil"/>
            </w:tcBorders>
            <w:shd w:val="clear" w:color="auto" w:fill="auto"/>
            <w:noWrap/>
            <w:tcMar>
              <w:top w:w="15" w:type="dxa"/>
              <w:left w:w="15" w:type="dxa"/>
              <w:right w:w="15" w:type="dxa"/>
            </w:tcMar>
            <w:vAlign w:val="bottom"/>
          </w:tcPr>
          <w:p>
            <w:pPr>
              <w:pStyle w:val="23"/>
              <w:bidi w:val="0"/>
              <w:rPr>
                <w:rFonts w:hint="eastAsia"/>
              </w:rPr>
            </w:pPr>
          </w:p>
        </w:tc>
        <w:tc>
          <w:tcPr>
            <w:tcW w:w="562" w:type="pct"/>
            <w:tcBorders>
              <w:tl2br w:val="nil"/>
              <w:tr2bl w:val="nil"/>
            </w:tcBorders>
            <w:shd w:val="clear" w:color="auto" w:fill="auto"/>
            <w:noWrap/>
            <w:tcMar>
              <w:top w:w="15" w:type="dxa"/>
              <w:left w:w="15" w:type="dxa"/>
              <w:right w:w="15" w:type="dxa"/>
            </w:tcMar>
            <w:vAlign w:val="bottom"/>
          </w:tcPr>
          <w:p>
            <w:pPr>
              <w:pStyle w:val="23"/>
              <w:bidi w:val="0"/>
              <w:rPr>
                <w:rFonts w:hint="eastAsia"/>
              </w:rPr>
            </w:pPr>
          </w:p>
        </w:tc>
        <w:tc>
          <w:tcPr>
            <w:tcW w:w="562" w:type="pct"/>
            <w:tcBorders>
              <w:tl2br w:val="nil"/>
              <w:tr2bl w:val="nil"/>
            </w:tcBorders>
            <w:shd w:val="clear" w:color="auto" w:fill="auto"/>
            <w:noWrap/>
            <w:tcMar>
              <w:top w:w="15" w:type="dxa"/>
              <w:left w:w="15" w:type="dxa"/>
              <w:right w:w="15" w:type="dxa"/>
            </w:tcMar>
            <w:vAlign w:val="bottom"/>
          </w:tcPr>
          <w:p>
            <w:pPr>
              <w:pStyle w:val="23"/>
              <w:bidi w:val="0"/>
              <w:rPr>
                <w:rFonts w:hint="eastAsia"/>
              </w:rPr>
            </w:pPr>
          </w:p>
        </w:tc>
        <w:tc>
          <w:tcPr>
            <w:tcW w:w="562" w:type="pct"/>
            <w:tcBorders>
              <w:tl2br w:val="nil"/>
              <w:tr2bl w:val="nil"/>
            </w:tcBorders>
            <w:shd w:val="clear" w:color="auto" w:fill="auto"/>
            <w:noWrap/>
            <w:tcMar>
              <w:top w:w="15" w:type="dxa"/>
              <w:left w:w="15" w:type="dxa"/>
              <w:right w:w="15" w:type="dxa"/>
            </w:tcMar>
            <w:vAlign w:val="bottom"/>
          </w:tcPr>
          <w:p>
            <w:pPr>
              <w:pStyle w:val="23"/>
              <w:bidi w:val="0"/>
              <w:rPr>
                <w:rFonts w:hint="eastAsia"/>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561"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②</w:t>
            </w:r>
          </w:p>
        </w:tc>
        <w:tc>
          <w:tcPr>
            <w:tcW w:w="1065"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场地平整</w:t>
            </w:r>
          </w:p>
        </w:tc>
        <w:tc>
          <w:tcPr>
            <w:tcW w:w="562"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2.41</w:t>
            </w:r>
          </w:p>
        </w:tc>
        <w:tc>
          <w:tcPr>
            <w:tcW w:w="562"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12.41</w:t>
            </w:r>
          </w:p>
        </w:tc>
        <w:tc>
          <w:tcPr>
            <w:tcW w:w="562"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10</w:t>
            </w:r>
          </w:p>
        </w:tc>
        <w:tc>
          <w:tcPr>
            <w:tcW w:w="562" w:type="pct"/>
            <w:tcBorders>
              <w:tl2br w:val="nil"/>
              <w:tr2bl w:val="nil"/>
            </w:tcBorders>
            <w:shd w:val="clear" w:color="auto" w:fill="auto"/>
            <w:noWrap/>
            <w:tcMar>
              <w:top w:w="15" w:type="dxa"/>
              <w:left w:w="15" w:type="dxa"/>
              <w:right w:w="15" w:type="dxa"/>
            </w:tcMar>
            <w:vAlign w:val="bottom"/>
          </w:tcPr>
          <w:p>
            <w:pPr>
              <w:pStyle w:val="23"/>
              <w:bidi w:val="0"/>
              <w:rPr>
                <w:rFonts w:hint="eastAsia"/>
              </w:rPr>
            </w:pPr>
          </w:p>
        </w:tc>
        <w:tc>
          <w:tcPr>
            <w:tcW w:w="562"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10</w:t>
            </w:r>
          </w:p>
        </w:tc>
        <w:tc>
          <w:tcPr>
            <w:tcW w:w="562" w:type="pct"/>
            <w:tcBorders>
              <w:tl2br w:val="nil"/>
              <w:tr2bl w:val="nil"/>
            </w:tcBorders>
            <w:shd w:val="clear" w:color="auto" w:fill="auto"/>
            <w:noWrap/>
            <w:tcMar>
              <w:top w:w="15" w:type="dxa"/>
              <w:left w:w="15" w:type="dxa"/>
              <w:right w:w="15" w:type="dxa"/>
            </w:tcMar>
            <w:vAlign w:val="bottom"/>
          </w:tcPr>
          <w:p>
            <w:pPr>
              <w:pStyle w:val="23"/>
              <w:bidi w:val="0"/>
              <w:rPr>
                <w:rFonts w:hint="eastAsia"/>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561"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③</w:t>
            </w:r>
          </w:p>
        </w:tc>
        <w:tc>
          <w:tcPr>
            <w:tcW w:w="1065"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工程建设期</w:t>
            </w:r>
          </w:p>
        </w:tc>
        <w:tc>
          <w:tcPr>
            <w:tcW w:w="562"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0.39</w:t>
            </w:r>
          </w:p>
        </w:tc>
        <w:tc>
          <w:tcPr>
            <w:tcW w:w="562"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0.39</w:t>
            </w:r>
          </w:p>
        </w:tc>
        <w:tc>
          <w:tcPr>
            <w:tcW w:w="562" w:type="pct"/>
            <w:tcBorders>
              <w:tl2br w:val="nil"/>
              <w:tr2bl w:val="nil"/>
            </w:tcBorders>
            <w:shd w:val="clear" w:color="auto" w:fill="auto"/>
            <w:noWrap/>
            <w:tcMar>
              <w:top w:w="15" w:type="dxa"/>
              <w:left w:w="15" w:type="dxa"/>
              <w:right w:w="15" w:type="dxa"/>
            </w:tcMar>
            <w:vAlign w:val="bottom"/>
          </w:tcPr>
          <w:p>
            <w:pPr>
              <w:pStyle w:val="23"/>
              <w:bidi w:val="0"/>
              <w:rPr>
                <w:rFonts w:hint="eastAsia"/>
              </w:rPr>
            </w:pPr>
          </w:p>
        </w:tc>
        <w:tc>
          <w:tcPr>
            <w:tcW w:w="562" w:type="pct"/>
            <w:tcBorders>
              <w:tl2br w:val="nil"/>
              <w:tr2bl w:val="nil"/>
            </w:tcBorders>
            <w:shd w:val="clear" w:color="auto" w:fill="auto"/>
            <w:noWrap/>
            <w:tcMar>
              <w:top w:w="15" w:type="dxa"/>
              <w:left w:w="15" w:type="dxa"/>
              <w:right w:w="15" w:type="dxa"/>
            </w:tcMar>
            <w:vAlign w:val="bottom"/>
          </w:tcPr>
          <w:p>
            <w:pPr>
              <w:pStyle w:val="23"/>
              <w:bidi w:val="0"/>
              <w:rPr>
                <w:rFonts w:hint="eastAsia"/>
              </w:rPr>
            </w:pPr>
          </w:p>
        </w:tc>
        <w:tc>
          <w:tcPr>
            <w:tcW w:w="562" w:type="pct"/>
            <w:tcBorders>
              <w:tl2br w:val="nil"/>
              <w:tr2bl w:val="nil"/>
            </w:tcBorders>
            <w:shd w:val="clear" w:color="auto" w:fill="auto"/>
            <w:noWrap/>
            <w:tcMar>
              <w:top w:w="15" w:type="dxa"/>
              <w:left w:w="15" w:type="dxa"/>
              <w:right w:w="15" w:type="dxa"/>
            </w:tcMar>
            <w:vAlign w:val="bottom"/>
          </w:tcPr>
          <w:p>
            <w:pPr>
              <w:pStyle w:val="23"/>
              <w:bidi w:val="0"/>
              <w:rPr>
                <w:rFonts w:hint="eastAsia"/>
              </w:rPr>
            </w:pPr>
          </w:p>
        </w:tc>
        <w:tc>
          <w:tcPr>
            <w:tcW w:w="562" w:type="pct"/>
            <w:tcBorders>
              <w:tl2br w:val="nil"/>
              <w:tr2bl w:val="nil"/>
            </w:tcBorders>
            <w:shd w:val="clear" w:color="auto" w:fill="auto"/>
            <w:noWrap/>
            <w:tcMar>
              <w:top w:w="15" w:type="dxa"/>
              <w:left w:w="15" w:type="dxa"/>
              <w:right w:w="15" w:type="dxa"/>
            </w:tcMar>
            <w:vAlign w:val="bottom"/>
          </w:tcPr>
          <w:p>
            <w:pPr>
              <w:pStyle w:val="23"/>
              <w:bidi w:val="0"/>
              <w:rPr>
                <w:rFonts w:hint="eastAsia"/>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561"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合计</w:t>
            </w:r>
          </w:p>
        </w:tc>
        <w:tc>
          <w:tcPr>
            <w:tcW w:w="1065" w:type="pct"/>
            <w:tcBorders>
              <w:tl2br w:val="nil"/>
              <w:tr2bl w:val="nil"/>
            </w:tcBorders>
            <w:shd w:val="clear" w:color="auto" w:fill="auto"/>
            <w:noWrap/>
            <w:tcMar>
              <w:top w:w="15" w:type="dxa"/>
              <w:left w:w="15" w:type="dxa"/>
              <w:right w:w="15" w:type="dxa"/>
            </w:tcMar>
            <w:vAlign w:val="bottom"/>
          </w:tcPr>
          <w:p>
            <w:pPr>
              <w:pStyle w:val="23"/>
              <w:bidi w:val="0"/>
              <w:rPr>
                <w:rFonts w:hint="eastAsia"/>
              </w:rPr>
            </w:pPr>
          </w:p>
        </w:tc>
        <w:tc>
          <w:tcPr>
            <w:tcW w:w="562"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2.89</w:t>
            </w:r>
          </w:p>
        </w:tc>
        <w:tc>
          <w:tcPr>
            <w:tcW w:w="562"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12.89</w:t>
            </w:r>
          </w:p>
        </w:tc>
        <w:tc>
          <w:tcPr>
            <w:tcW w:w="562"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10</w:t>
            </w:r>
          </w:p>
        </w:tc>
        <w:tc>
          <w:tcPr>
            <w:tcW w:w="562" w:type="pct"/>
            <w:tcBorders>
              <w:tl2br w:val="nil"/>
              <w:tr2bl w:val="nil"/>
            </w:tcBorders>
            <w:shd w:val="clear" w:color="auto" w:fill="auto"/>
            <w:noWrap/>
            <w:tcMar>
              <w:top w:w="15" w:type="dxa"/>
              <w:left w:w="15" w:type="dxa"/>
              <w:right w:w="15" w:type="dxa"/>
            </w:tcMar>
            <w:vAlign w:val="bottom"/>
          </w:tcPr>
          <w:p>
            <w:pPr>
              <w:pStyle w:val="23"/>
              <w:bidi w:val="0"/>
              <w:rPr>
                <w:rFonts w:hint="eastAsia"/>
              </w:rPr>
            </w:pPr>
          </w:p>
        </w:tc>
        <w:tc>
          <w:tcPr>
            <w:tcW w:w="562"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10</w:t>
            </w:r>
          </w:p>
        </w:tc>
        <w:tc>
          <w:tcPr>
            <w:tcW w:w="562" w:type="pct"/>
            <w:tcBorders>
              <w:tl2br w:val="nil"/>
              <w:tr2bl w:val="nil"/>
            </w:tcBorders>
            <w:shd w:val="clear" w:color="auto" w:fill="auto"/>
            <w:noWrap/>
            <w:tcMar>
              <w:top w:w="15" w:type="dxa"/>
              <w:left w:w="15" w:type="dxa"/>
              <w:right w:w="15" w:type="dxa"/>
            </w:tcMar>
            <w:vAlign w:val="bottom"/>
          </w:tcPr>
          <w:p>
            <w:pPr>
              <w:pStyle w:val="23"/>
              <w:bidi w:val="0"/>
              <w:rPr>
                <w:rFonts w:hint="eastAsia"/>
              </w:rPr>
            </w:pPr>
          </w:p>
        </w:tc>
      </w:tr>
    </w:tbl>
    <w:p>
      <w:pPr>
        <w:sectPr>
          <w:footerReference r:id="rId13" w:type="default"/>
          <w:pgSz w:w="11906" w:h="16838"/>
          <w:pgMar w:top="141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pStyle w:val="3"/>
        <w:rPr>
          <w:rFonts w:ascii="Times New Roman" w:hAnsi="Times New Roman" w:cs="Times New Roman"/>
        </w:rPr>
      </w:pPr>
      <w:r>
        <w:rPr>
          <w:rFonts w:ascii="Times New Roman" w:hAnsi="Times New Roman" w:cs="Times New Roman"/>
        </w:rPr>
        <w:t>其他重点部位监测</w:t>
      </w:r>
      <w:bookmarkEnd w:id="49"/>
      <w:bookmarkEnd w:id="50"/>
      <w:bookmarkEnd w:id="51"/>
    </w:p>
    <w:p>
      <w:pPr>
        <w:ind w:firstLine="480"/>
        <w:rPr>
          <w:rFonts w:cs="Times New Roman"/>
        </w:rPr>
      </w:pPr>
      <w:r>
        <w:rPr>
          <w:rFonts w:cs="Times New Roman"/>
        </w:rPr>
        <w:t>根据施工过程资料、监理资料及现场调查情况，施工初期，工程建设过程中对地表的扰动导致原始植被的丧失和土壤结构的破坏，使得地表土壤的抗冲蚀能力降低，</w:t>
      </w:r>
      <w:r>
        <w:rPr>
          <w:rFonts w:hint="eastAsia" w:cs="Times New Roman"/>
        </w:rPr>
        <w:t>基坑开挖，</w:t>
      </w:r>
      <w:r>
        <w:rPr>
          <w:rFonts w:cs="Times New Roman"/>
        </w:rPr>
        <w:t xml:space="preserve">产生大量的裸露边坡，容易发生面蚀、沟蚀等水土流失形式，水土流失强度较高。 </w:t>
      </w:r>
    </w:p>
    <w:p>
      <w:pPr>
        <w:ind w:firstLine="480"/>
        <w:rPr>
          <w:rFonts w:cs="Times New Roman"/>
        </w:rPr>
      </w:pPr>
      <w:r>
        <w:rPr>
          <w:rFonts w:cs="Times New Roman"/>
        </w:rPr>
        <w:t>工程在后续施工过程中的水土保持措施相继实施，土壤侵蚀强度逐渐降低，至施工结束时，工程总体土壤侵蚀强度降低到轻度范围。后期随着施工活动逐步减弱、裸露坡面相继实施迹地恢复措施，开挖坡面土壤侵蚀强度逐渐降低。施工结束后实施工程措施和植物措施，整个过程中未发生重大水土流失危害。</w:t>
      </w:r>
    </w:p>
    <w:p>
      <w:pPr>
        <w:widowControl/>
        <w:spacing w:line="240" w:lineRule="auto"/>
        <w:ind w:firstLine="0" w:firstLineChars="0"/>
        <w:jc w:val="left"/>
        <w:rPr>
          <w:rFonts w:cs="Times New Roman"/>
        </w:rPr>
      </w:pPr>
      <w:r>
        <w:rPr>
          <w:rFonts w:cs="Times New Roman"/>
        </w:rPr>
        <w:br w:type="page"/>
      </w:r>
    </w:p>
    <w:p>
      <w:pPr>
        <w:pStyle w:val="2"/>
        <w:rPr>
          <w:rFonts w:cs="Times New Roman"/>
        </w:rPr>
      </w:pPr>
      <w:bookmarkStart w:id="52" w:name="_Toc5825910"/>
      <w:bookmarkStart w:id="53" w:name="_Toc2534367"/>
      <w:bookmarkStart w:id="54" w:name="_Toc12290"/>
      <w:r>
        <w:rPr>
          <w:rFonts w:cs="Times New Roman"/>
        </w:rPr>
        <w:t>水土流失防治措施监测结果</w:t>
      </w:r>
      <w:bookmarkEnd w:id="52"/>
      <w:bookmarkEnd w:id="53"/>
      <w:bookmarkEnd w:id="54"/>
    </w:p>
    <w:p>
      <w:pPr>
        <w:pStyle w:val="3"/>
        <w:rPr>
          <w:rFonts w:ascii="Times New Roman" w:hAnsi="Times New Roman" w:cs="Times New Roman"/>
        </w:rPr>
      </w:pPr>
      <w:bookmarkStart w:id="55" w:name="_Toc2534368"/>
      <w:bookmarkStart w:id="56" w:name="_Toc9577"/>
      <w:bookmarkStart w:id="57" w:name="_Toc5825911"/>
      <w:r>
        <w:rPr>
          <w:rFonts w:ascii="Times New Roman" w:hAnsi="Times New Roman" w:cs="Times New Roman"/>
        </w:rPr>
        <w:t>工程措施监测结果</w:t>
      </w:r>
      <w:bookmarkEnd w:id="55"/>
      <w:bookmarkEnd w:id="56"/>
      <w:bookmarkEnd w:id="57"/>
    </w:p>
    <w:p>
      <w:pPr>
        <w:pStyle w:val="4"/>
        <w:rPr>
          <w:rFonts w:cs="Times New Roman"/>
        </w:rPr>
      </w:pPr>
      <w:r>
        <w:rPr>
          <w:rFonts w:cs="Times New Roman"/>
        </w:rPr>
        <w:t>工程措施</w:t>
      </w:r>
      <w:r>
        <w:rPr>
          <w:rStyle w:val="19"/>
          <w:rFonts w:cs="Times New Roman"/>
          <w:bCs w:val="0"/>
        </w:rPr>
        <w:t>设计</w:t>
      </w:r>
      <w:r>
        <w:rPr>
          <w:rFonts w:cs="Times New Roman"/>
        </w:rPr>
        <w:t>情况</w:t>
      </w:r>
    </w:p>
    <w:p>
      <w:pPr>
        <w:ind w:firstLine="480"/>
        <w:rPr>
          <w:rFonts w:cs="Times New Roman"/>
        </w:rPr>
      </w:pPr>
      <w:r>
        <w:rPr>
          <w:rFonts w:cs="Times New Roman"/>
        </w:rPr>
        <w:t>水土保持工程措施设计包括</w:t>
      </w:r>
      <w:r>
        <w:rPr>
          <w:rFonts w:hint="eastAsia" w:cs="Times New Roman"/>
          <w:lang w:eastAsia="zh-CN"/>
        </w:rPr>
        <w:t>建构筑物防治区</w:t>
      </w:r>
      <w:r>
        <w:rPr>
          <w:rFonts w:cs="Times New Roman"/>
        </w:rPr>
        <w:t>、</w:t>
      </w:r>
      <w:r>
        <w:rPr>
          <w:rFonts w:hint="eastAsia" w:cs="Times New Roman"/>
          <w:lang w:eastAsia="zh-CN"/>
        </w:rPr>
        <w:t>道路及硬化工程防治区</w:t>
      </w:r>
      <w:r>
        <w:rPr>
          <w:rFonts w:cs="Times New Roman"/>
        </w:rPr>
        <w:t>、</w:t>
      </w:r>
      <w:r>
        <w:rPr>
          <w:rFonts w:hint="eastAsia" w:cs="Times New Roman"/>
          <w:lang w:eastAsia="zh-CN"/>
        </w:rPr>
        <w:t>绿化防治区</w:t>
      </w:r>
      <w:r>
        <w:rPr>
          <w:rFonts w:cs="Times New Roman"/>
        </w:rPr>
        <w:t>共3个防治分区。</w:t>
      </w:r>
    </w:p>
    <w:p>
      <w:pPr>
        <w:pStyle w:val="5"/>
        <w:rPr>
          <w:rFonts w:cs="Times New Roman"/>
        </w:rPr>
      </w:pPr>
      <w:r>
        <w:rPr>
          <w:rFonts w:hint="eastAsia" w:cs="Times New Roman"/>
          <w:lang w:eastAsia="zh-CN"/>
        </w:rPr>
        <w:t>建构筑物防治区</w:t>
      </w:r>
    </w:p>
    <w:p>
      <w:pPr>
        <w:ind w:firstLine="480"/>
        <w:rPr>
          <w:rFonts w:hint="eastAsia"/>
        </w:rPr>
      </w:pPr>
      <w:r>
        <w:rPr>
          <w:rFonts w:hint="eastAsia"/>
        </w:rPr>
        <w:t>根据批复水土保持方案，</w:t>
      </w:r>
      <w:r>
        <w:rPr>
          <w:rFonts w:hint="eastAsia"/>
          <w:lang w:val="en-US" w:eastAsia="zh-CN"/>
        </w:rPr>
        <w:t>本项目</w:t>
      </w:r>
      <w:r>
        <w:rPr>
          <w:rFonts w:hint="eastAsia"/>
        </w:rPr>
        <w:t>建构筑物防治区总占地面积2.77hm</w:t>
      </w:r>
      <w:r>
        <w:rPr>
          <w:rFonts w:hint="eastAsia"/>
          <w:vertAlign w:val="superscript"/>
        </w:rPr>
        <w:t>2</w:t>
      </w:r>
      <w:r>
        <w:rPr>
          <w:rFonts w:hint="eastAsia"/>
        </w:rPr>
        <w:t>，水保方案采取管理措施与水土保持措施进行综合防治。</w:t>
      </w:r>
    </w:p>
    <w:p>
      <w:pPr>
        <w:bidi w:val="0"/>
        <w:rPr>
          <w:rFonts w:hint="eastAsia"/>
          <w:lang w:val="en-US" w:eastAsia="zh-CN"/>
        </w:rPr>
      </w:pPr>
      <w:r>
        <w:rPr>
          <w:rFonts w:hint="eastAsia"/>
          <w:lang w:val="en-US" w:eastAsia="zh-CN"/>
        </w:rPr>
        <w:t>该分区实施的工程措施措施主要有表土剥离。</w:t>
      </w:r>
    </w:p>
    <w:p>
      <w:pPr>
        <w:pStyle w:val="24"/>
        <w:rPr>
          <w:rFonts w:hint="eastAsia" w:eastAsia="黑体"/>
          <w:lang w:eastAsia="zh-CN"/>
        </w:rPr>
      </w:pPr>
      <w:r>
        <w:rPr>
          <w:rFonts w:hint="eastAsia"/>
        </w:rPr>
        <w:t>表4.1-</w:t>
      </w:r>
      <w:r>
        <w:rPr>
          <w:rFonts w:hint="eastAsia"/>
          <w:lang w:val="en-US" w:eastAsia="zh-CN"/>
        </w:rPr>
        <w:t xml:space="preserve">1 </w:t>
      </w:r>
      <w:r>
        <w:rPr>
          <w:rFonts w:hint="eastAsia"/>
          <w:lang w:eastAsia="zh-CN"/>
        </w:rPr>
        <w:t>建构筑物防治区</w:t>
      </w:r>
      <w:r>
        <w:rPr>
          <w:rFonts w:hint="eastAsia"/>
        </w:rPr>
        <w:t>水保工程措施</w:t>
      </w:r>
      <w:r>
        <w:rPr>
          <w:rFonts w:hint="eastAsia"/>
          <w:lang w:val="en-US" w:eastAsia="zh-CN"/>
        </w:rPr>
        <w:t>设计情况</w:t>
      </w:r>
    </w:p>
    <w:tbl>
      <w:tblPr>
        <w:tblStyle w:val="13"/>
        <w:tblW w:w="4997"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autofit"/>
        <w:tblCellMar>
          <w:top w:w="0" w:type="dxa"/>
          <w:left w:w="0" w:type="dxa"/>
          <w:bottom w:w="0" w:type="dxa"/>
          <w:right w:w="0" w:type="dxa"/>
        </w:tblCellMar>
      </w:tblPr>
      <w:tblGrid>
        <w:gridCol w:w="2253"/>
        <w:gridCol w:w="1962"/>
        <w:gridCol w:w="2495"/>
        <w:gridCol w:w="1187"/>
        <w:gridCol w:w="1198"/>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jc w:val="center"/>
        </w:trPr>
        <w:tc>
          <w:tcPr>
            <w:tcW w:w="1238" w:type="pct"/>
            <w:tcBorders>
              <w:tl2br w:val="nil"/>
              <w:tr2bl w:val="nil"/>
            </w:tcBorders>
            <w:shd w:val="clear" w:color="auto" w:fill="auto"/>
            <w:noWrap/>
            <w:tcMar>
              <w:top w:w="15" w:type="dxa"/>
              <w:left w:w="15" w:type="dxa"/>
              <w:right w:w="15" w:type="dxa"/>
            </w:tcMar>
            <w:vAlign w:val="center"/>
          </w:tcPr>
          <w:p>
            <w:pPr>
              <w:pStyle w:val="23"/>
              <w:bidi w:val="0"/>
              <w:jc w:val="center"/>
            </w:pPr>
            <w:r>
              <w:rPr>
                <w:rFonts w:hint="eastAsia"/>
                <w:lang w:val="en-US" w:eastAsia="zh-CN"/>
              </w:rPr>
              <w:t>防治分区</w:t>
            </w:r>
          </w:p>
        </w:tc>
        <w:tc>
          <w:tcPr>
            <w:tcW w:w="1078" w:type="pct"/>
            <w:tcBorders>
              <w:tl2br w:val="nil"/>
              <w:tr2bl w:val="nil"/>
            </w:tcBorders>
            <w:shd w:val="clear" w:color="auto" w:fill="auto"/>
            <w:noWrap/>
            <w:tcMar>
              <w:top w:w="15" w:type="dxa"/>
              <w:left w:w="15" w:type="dxa"/>
              <w:right w:w="15" w:type="dxa"/>
            </w:tcMar>
            <w:vAlign w:val="center"/>
          </w:tcPr>
          <w:p>
            <w:pPr>
              <w:pStyle w:val="23"/>
              <w:bidi w:val="0"/>
              <w:jc w:val="center"/>
              <w:rPr>
                <w:rFonts w:hint="eastAsia"/>
              </w:rPr>
            </w:pPr>
            <w:r>
              <w:rPr>
                <w:rFonts w:hint="eastAsia"/>
                <w:lang w:val="en-US" w:eastAsia="zh-CN"/>
              </w:rPr>
              <w:t>措施类型</w:t>
            </w:r>
          </w:p>
        </w:tc>
        <w:tc>
          <w:tcPr>
            <w:tcW w:w="1371" w:type="pct"/>
            <w:tcBorders>
              <w:tl2br w:val="nil"/>
              <w:tr2bl w:val="nil"/>
            </w:tcBorders>
            <w:shd w:val="clear" w:color="auto" w:fill="auto"/>
            <w:noWrap/>
            <w:tcMar>
              <w:top w:w="15" w:type="dxa"/>
              <w:left w:w="15" w:type="dxa"/>
              <w:right w:w="15" w:type="dxa"/>
            </w:tcMar>
            <w:vAlign w:val="center"/>
          </w:tcPr>
          <w:p>
            <w:pPr>
              <w:pStyle w:val="23"/>
              <w:bidi w:val="0"/>
              <w:jc w:val="center"/>
              <w:rPr>
                <w:rFonts w:hint="eastAsia"/>
              </w:rPr>
            </w:pPr>
            <w:r>
              <w:rPr>
                <w:rFonts w:hint="eastAsia"/>
                <w:lang w:val="en-US" w:eastAsia="zh-CN"/>
              </w:rPr>
              <w:t>措施名称</w:t>
            </w:r>
          </w:p>
        </w:tc>
        <w:tc>
          <w:tcPr>
            <w:tcW w:w="652" w:type="pct"/>
            <w:tcBorders>
              <w:tl2br w:val="nil"/>
              <w:tr2bl w:val="nil"/>
            </w:tcBorders>
            <w:shd w:val="clear" w:color="auto" w:fill="auto"/>
            <w:noWrap/>
            <w:tcMar>
              <w:top w:w="15" w:type="dxa"/>
              <w:left w:w="15" w:type="dxa"/>
              <w:right w:w="15" w:type="dxa"/>
            </w:tcMar>
            <w:vAlign w:val="center"/>
          </w:tcPr>
          <w:p>
            <w:pPr>
              <w:pStyle w:val="23"/>
              <w:bidi w:val="0"/>
              <w:jc w:val="center"/>
              <w:rPr>
                <w:rFonts w:hint="eastAsia"/>
              </w:rPr>
            </w:pPr>
            <w:r>
              <w:rPr>
                <w:rFonts w:hint="eastAsia"/>
                <w:lang w:val="en-US" w:eastAsia="zh-CN"/>
              </w:rPr>
              <w:t>单位</w:t>
            </w:r>
          </w:p>
        </w:tc>
        <w:tc>
          <w:tcPr>
            <w:tcW w:w="658" w:type="pct"/>
            <w:tcBorders>
              <w:tl2br w:val="nil"/>
              <w:tr2bl w:val="nil"/>
            </w:tcBorders>
            <w:shd w:val="clear" w:color="auto" w:fill="auto"/>
            <w:noWrap/>
            <w:tcMar>
              <w:top w:w="15" w:type="dxa"/>
              <w:left w:w="15" w:type="dxa"/>
              <w:right w:w="15" w:type="dxa"/>
            </w:tcMar>
            <w:vAlign w:val="center"/>
          </w:tcPr>
          <w:p>
            <w:pPr>
              <w:pStyle w:val="23"/>
              <w:bidi w:val="0"/>
              <w:jc w:val="center"/>
              <w:rPr>
                <w:rFonts w:hint="eastAsia"/>
              </w:rPr>
            </w:pPr>
            <w:r>
              <w:rPr>
                <w:rFonts w:hint="eastAsia"/>
                <w:lang w:val="en-US" w:eastAsia="zh-CN"/>
              </w:rPr>
              <w:t>数量</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00" w:hRule="atLeast"/>
          <w:jc w:val="center"/>
        </w:trPr>
        <w:tc>
          <w:tcPr>
            <w:tcW w:w="1238" w:type="pct"/>
            <w:tcBorders>
              <w:tl2br w:val="nil"/>
              <w:tr2bl w:val="nil"/>
            </w:tcBorders>
            <w:shd w:val="clear" w:color="auto" w:fill="auto"/>
            <w:noWrap/>
            <w:tcMar>
              <w:top w:w="15" w:type="dxa"/>
              <w:left w:w="15" w:type="dxa"/>
              <w:right w:w="15" w:type="dxa"/>
            </w:tcMar>
            <w:vAlign w:val="center"/>
          </w:tcPr>
          <w:p>
            <w:pPr>
              <w:pStyle w:val="23"/>
              <w:bidi w:val="0"/>
              <w:jc w:val="center"/>
            </w:pPr>
            <w:r>
              <w:rPr>
                <w:rFonts w:hint="eastAsia"/>
                <w:lang w:val="en-US" w:eastAsia="zh-CN"/>
              </w:rPr>
              <w:t>建构筑物防治区</w:t>
            </w:r>
          </w:p>
        </w:tc>
        <w:tc>
          <w:tcPr>
            <w:tcW w:w="1078" w:type="pct"/>
            <w:tcBorders>
              <w:tl2br w:val="nil"/>
              <w:tr2bl w:val="nil"/>
            </w:tcBorders>
            <w:shd w:val="clear" w:color="auto" w:fill="auto"/>
            <w:noWrap/>
            <w:tcMar>
              <w:top w:w="15" w:type="dxa"/>
              <w:left w:w="15" w:type="dxa"/>
              <w:right w:w="15" w:type="dxa"/>
            </w:tcMar>
            <w:vAlign w:val="center"/>
          </w:tcPr>
          <w:p>
            <w:pPr>
              <w:pStyle w:val="23"/>
              <w:bidi w:val="0"/>
              <w:jc w:val="center"/>
              <w:rPr>
                <w:rFonts w:hint="eastAsia"/>
              </w:rPr>
            </w:pPr>
            <w:r>
              <w:rPr>
                <w:rFonts w:hint="eastAsia"/>
                <w:lang w:val="en-US" w:eastAsia="zh-CN"/>
              </w:rPr>
              <w:t>工程措施</w:t>
            </w:r>
          </w:p>
        </w:tc>
        <w:tc>
          <w:tcPr>
            <w:tcW w:w="1371" w:type="pct"/>
            <w:tcBorders>
              <w:tl2br w:val="nil"/>
              <w:tr2bl w:val="nil"/>
            </w:tcBorders>
            <w:shd w:val="clear" w:color="auto" w:fill="auto"/>
            <w:noWrap/>
            <w:tcMar>
              <w:top w:w="15" w:type="dxa"/>
              <w:left w:w="15" w:type="dxa"/>
              <w:right w:w="15" w:type="dxa"/>
            </w:tcMar>
            <w:vAlign w:val="center"/>
          </w:tcPr>
          <w:p>
            <w:pPr>
              <w:pStyle w:val="23"/>
              <w:bidi w:val="0"/>
              <w:jc w:val="center"/>
              <w:rPr>
                <w:rFonts w:hint="eastAsia"/>
              </w:rPr>
            </w:pPr>
            <w:r>
              <w:rPr>
                <w:rFonts w:hint="eastAsia"/>
                <w:lang w:val="en-US" w:eastAsia="zh-CN"/>
              </w:rPr>
              <w:t>表土剥离</w:t>
            </w:r>
          </w:p>
        </w:tc>
        <w:tc>
          <w:tcPr>
            <w:tcW w:w="652" w:type="pct"/>
            <w:tcBorders>
              <w:tl2br w:val="nil"/>
              <w:tr2bl w:val="nil"/>
            </w:tcBorders>
            <w:shd w:val="clear" w:color="auto" w:fill="auto"/>
            <w:noWrap/>
            <w:tcMar>
              <w:top w:w="15" w:type="dxa"/>
              <w:left w:w="15" w:type="dxa"/>
              <w:right w:w="15" w:type="dxa"/>
            </w:tcMar>
            <w:vAlign w:val="center"/>
          </w:tcPr>
          <w:p>
            <w:pPr>
              <w:pStyle w:val="23"/>
              <w:bidi w:val="0"/>
              <w:jc w:val="center"/>
              <w:rPr>
                <w:rFonts w:hint="eastAsia"/>
              </w:rPr>
            </w:pPr>
            <w:r>
              <w:rPr>
                <w:rFonts w:hint="eastAsia"/>
                <w:lang w:val="en-US" w:eastAsia="zh-CN"/>
              </w:rPr>
              <w:t>m</w:t>
            </w:r>
            <w:r>
              <w:rPr>
                <w:rFonts w:hint="eastAsia"/>
                <w:vertAlign w:val="superscript"/>
                <w:lang w:val="en-US" w:eastAsia="zh-CN"/>
              </w:rPr>
              <w:t>3</w:t>
            </w:r>
          </w:p>
        </w:tc>
        <w:tc>
          <w:tcPr>
            <w:tcW w:w="658" w:type="pct"/>
            <w:tcBorders>
              <w:tl2br w:val="nil"/>
              <w:tr2bl w:val="nil"/>
            </w:tcBorders>
            <w:shd w:val="clear" w:color="auto" w:fill="auto"/>
            <w:noWrap/>
            <w:tcMar>
              <w:top w:w="15" w:type="dxa"/>
              <w:left w:w="15" w:type="dxa"/>
              <w:right w:w="15" w:type="dxa"/>
            </w:tcMar>
            <w:vAlign w:val="center"/>
          </w:tcPr>
          <w:p>
            <w:pPr>
              <w:pStyle w:val="23"/>
              <w:bidi w:val="0"/>
              <w:jc w:val="center"/>
              <w:rPr>
                <w:rFonts w:hint="eastAsia"/>
              </w:rPr>
            </w:pPr>
            <w:r>
              <w:rPr>
                <w:rFonts w:hint="eastAsia"/>
                <w:lang w:val="en-US" w:eastAsia="zh-CN"/>
              </w:rPr>
              <w:t>900</w:t>
            </w:r>
          </w:p>
        </w:tc>
      </w:tr>
    </w:tbl>
    <w:p>
      <w:pPr>
        <w:pStyle w:val="5"/>
        <w:rPr>
          <w:rFonts w:cs="Times New Roman"/>
        </w:rPr>
      </w:pPr>
      <w:r>
        <w:rPr>
          <w:rFonts w:hint="eastAsia" w:cs="Times New Roman"/>
          <w:lang w:eastAsia="zh-CN"/>
        </w:rPr>
        <w:t>道路及硬化工程防治区</w:t>
      </w:r>
    </w:p>
    <w:p>
      <w:pPr>
        <w:ind w:firstLine="480"/>
      </w:pPr>
      <w:r>
        <w:rPr>
          <w:rFonts w:hint="eastAsia"/>
        </w:rPr>
        <w:t>根据批复水土保持方案，</w:t>
      </w:r>
      <w:r>
        <w:rPr>
          <w:rFonts w:hint="eastAsia"/>
          <w:lang w:val="en-US" w:eastAsia="zh-CN"/>
        </w:rPr>
        <w:t>本项目</w:t>
      </w:r>
      <w:r>
        <w:rPr>
          <w:rFonts w:hint="eastAsia"/>
        </w:rPr>
        <w:t>道路及硬化工程防治区总占地面积1.47hm</w:t>
      </w:r>
      <w:r>
        <w:rPr>
          <w:rFonts w:hint="eastAsia"/>
          <w:vertAlign w:val="superscript"/>
        </w:rPr>
        <w:t>2</w:t>
      </w:r>
      <w:r>
        <w:rPr>
          <w:rFonts w:hint="eastAsia"/>
        </w:rPr>
        <w:t>，水保方案采取管理措施与水土保持措施进行综合防治。</w:t>
      </w:r>
    </w:p>
    <w:p>
      <w:pPr>
        <w:ind w:firstLine="480"/>
        <w:rPr>
          <w:rFonts w:hint="eastAsia"/>
        </w:rPr>
      </w:pPr>
      <w:r>
        <w:rPr>
          <w:rFonts w:hint="eastAsia"/>
          <w:lang w:eastAsia="zh-CN"/>
        </w:rPr>
        <w:t>道路及硬化工程防治区</w:t>
      </w:r>
      <w:r>
        <w:rPr>
          <w:rFonts w:hint="eastAsia"/>
        </w:rPr>
        <w:t>实施的工程措施措施主要有表土回铺、</w:t>
      </w:r>
      <w:r>
        <w:rPr>
          <w:rFonts w:hint="eastAsia"/>
          <w:lang w:val="en-US" w:eastAsia="zh-CN"/>
        </w:rPr>
        <w:t>洗车槽、排水沟</w:t>
      </w:r>
      <w:r>
        <w:rPr>
          <w:rFonts w:hint="eastAsia"/>
        </w:rPr>
        <w:t>。</w:t>
      </w:r>
    </w:p>
    <w:p>
      <w:pPr>
        <w:pStyle w:val="24"/>
        <w:rPr>
          <w:rFonts w:cs="Times New Roman"/>
        </w:rPr>
      </w:pPr>
      <w:r>
        <w:rPr>
          <w:rFonts w:cs="Times New Roman"/>
        </w:rPr>
        <w:t>表4.1-</w:t>
      </w:r>
      <w:r>
        <w:rPr>
          <w:rFonts w:hint="eastAsia" w:cs="Times New Roman"/>
          <w:lang w:val="en-US" w:eastAsia="zh-CN"/>
        </w:rPr>
        <w:t>2</w:t>
      </w:r>
      <w:r>
        <w:rPr>
          <w:rFonts w:cs="Times New Roman"/>
        </w:rPr>
        <w:t xml:space="preserve"> </w:t>
      </w:r>
      <w:r>
        <w:rPr>
          <w:rFonts w:hint="eastAsia" w:cs="Times New Roman"/>
          <w:lang w:eastAsia="zh-CN"/>
        </w:rPr>
        <w:t>道路及硬化工程防治区</w:t>
      </w:r>
      <w:r>
        <w:rPr>
          <w:rFonts w:cs="Times New Roman"/>
        </w:rPr>
        <w:t>水土保持工程措施设计情况</w:t>
      </w:r>
    </w:p>
    <w:tbl>
      <w:tblPr>
        <w:tblStyle w:val="13"/>
        <w:tblW w:w="4997"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autofit"/>
        <w:tblCellMar>
          <w:top w:w="0" w:type="dxa"/>
          <w:left w:w="0" w:type="dxa"/>
          <w:bottom w:w="0" w:type="dxa"/>
          <w:right w:w="0" w:type="dxa"/>
        </w:tblCellMar>
      </w:tblPr>
      <w:tblGrid>
        <w:gridCol w:w="2763"/>
        <w:gridCol w:w="1820"/>
        <w:gridCol w:w="2313"/>
        <w:gridCol w:w="1099"/>
        <w:gridCol w:w="1100"/>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1518" w:type="pct"/>
            <w:tcBorders>
              <w:tl2br w:val="nil"/>
              <w:tr2bl w:val="nil"/>
            </w:tcBorders>
            <w:shd w:val="clear" w:color="auto" w:fill="auto"/>
            <w:noWrap/>
            <w:tcMar>
              <w:top w:w="15" w:type="dxa"/>
              <w:left w:w="15" w:type="dxa"/>
              <w:right w:w="15" w:type="dxa"/>
            </w:tcMar>
            <w:vAlign w:val="center"/>
          </w:tcPr>
          <w:p>
            <w:pPr>
              <w:pStyle w:val="23"/>
              <w:bidi w:val="0"/>
            </w:pPr>
            <w:r>
              <w:rPr>
                <w:rFonts w:hint="eastAsia"/>
                <w:lang w:val="en-US" w:eastAsia="zh-CN"/>
              </w:rPr>
              <w:t>防治分区</w:t>
            </w:r>
          </w:p>
        </w:tc>
        <w:tc>
          <w:tcPr>
            <w:tcW w:w="1000"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措施类型</w:t>
            </w:r>
          </w:p>
        </w:tc>
        <w:tc>
          <w:tcPr>
            <w:tcW w:w="1271"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措施名称</w:t>
            </w:r>
          </w:p>
        </w:tc>
        <w:tc>
          <w:tcPr>
            <w:tcW w:w="604"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单位</w:t>
            </w:r>
          </w:p>
        </w:tc>
        <w:tc>
          <w:tcPr>
            <w:tcW w:w="604"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数量</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1518" w:type="pct"/>
            <w:vMerge w:val="restart"/>
            <w:tcBorders>
              <w:tl2br w:val="nil"/>
              <w:tr2bl w:val="nil"/>
            </w:tcBorders>
            <w:shd w:val="clear" w:color="auto" w:fill="auto"/>
            <w:noWrap/>
            <w:tcMar>
              <w:top w:w="15" w:type="dxa"/>
              <w:left w:w="15" w:type="dxa"/>
              <w:right w:w="15" w:type="dxa"/>
            </w:tcMar>
            <w:vAlign w:val="center"/>
          </w:tcPr>
          <w:p>
            <w:pPr>
              <w:pStyle w:val="23"/>
              <w:bidi w:val="0"/>
            </w:pPr>
            <w:r>
              <w:rPr>
                <w:rFonts w:hint="eastAsia"/>
                <w:lang w:val="en-US" w:eastAsia="zh-CN"/>
              </w:rPr>
              <w:t>道路及硬化工程防治区</w:t>
            </w:r>
          </w:p>
        </w:tc>
        <w:tc>
          <w:tcPr>
            <w:tcW w:w="1000" w:type="pct"/>
            <w:vMerge w:val="restar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工程措施</w:t>
            </w:r>
          </w:p>
        </w:tc>
        <w:tc>
          <w:tcPr>
            <w:tcW w:w="1271"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排水沟</w:t>
            </w:r>
          </w:p>
        </w:tc>
        <w:tc>
          <w:tcPr>
            <w:tcW w:w="604" w:type="pct"/>
            <w:tcBorders>
              <w:tl2br w:val="nil"/>
              <w:tr2bl w:val="nil"/>
            </w:tcBorders>
            <w:shd w:val="clear" w:color="auto" w:fill="auto"/>
            <w:noWrap/>
            <w:tcMar>
              <w:top w:w="15" w:type="dxa"/>
              <w:left w:w="15" w:type="dxa"/>
              <w:right w:w="15" w:type="dxa"/>
            </w:tcMar>
            <w:vAlign w:val="center"/>
          </w:tcPr>
          <w:p>
            <w:pPr>
              <w:pStyle w:val="23"/>
              <w:bidi w:val="0"/>
              <w:ind w:firstLine="0" w:firstLineChars="0"/>
              <w:rPr>
                <w:rFonts w:hint="eastAsia"/>
              </w:rPr>
            </w:pPr>
            <w:r>
              <w:rPr>
                <w:rFonts w:hint="eastAsia"/>
                <w:lang w:val="en-US" w:eastAsia="zh-CN"/>
              </w:rPr>
              <w:t>m</w:t>
            </w:r>
          </w:p>
        </w:tc>
        <w:tc>
          <w:tcPr>
            <w:tcW w:w="604"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600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1518" w:type="pct"/>
            <w:vMerge w:val="continue"/>
            <w:tcBorders>
              <w:tl2br w:val="nil"/>
              <w:tr2bl w:val="nil"/>
            </w:tcBorders>
            <w:shd w:val="clear" w:color="auto" w:fill="auto"/>
            <w:noWrap/>
            <w:tcMar>
              <w:top w:w="15" w:type="dxa"/>
              <w:left w:w="15" w:type="dxa"/>
              <w:right w:w="15" w:type="dxa"/>
            </w:tcMar>
            <w:vAlign w:val="center"/>
          </w:tcPr>
          <w:p>
            <w:pPr>
              <w:pStyle w:val="23"/>
              <w:bidi w:val="0"/>
              <w:rPr>
                <w:rFonts w:hint="eastAsia"/>
              </w:rPr>
            </w:pPr>
          </w:p>
        </w:tc>
        <w:tc>
          <w:tcPr>
            <w:tcW w:w="1000" w:type="pct"/>
            <w:vMerge w:val="continue"/>
            <w:tcBorders>
              <w:tl2br w:val="nil"/>
              <w:tr2bl w:val="nil"/>
            </w:tcBorders>
            <w:shd w:val="clear" w:color="auto" w:fill="auto"/>
            <w:noWrap/>
            <w:tcMar>
              <w:top w:w="15" w:type="dxa"/>
              <w:left w:w="15" w:type="dxa"/>
              <w:right w:w="15" w:type="dxa"/>
            </w:tcMar>
            <w:vAlign w:val="center"/>
          </w:tcPr>
          <w:p>
            <w:pPr>
              <w:pStyle w:val="23"/>
              <w:bidi w:val="0"/>
              <w:rPr>
                <w:rFonts w:hint="eastAsia"/>
              </w:rPr>
            </w:pPr>
          </w:p>
        </w:tc>
        <w:tc>
          <w:tcPr>
            <w:tcW w:w="1271"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洗车槽</w:t>
            </w:r>
          </w:p>
        </w:tc>
        <w:tc>
          <w:tcPr>
            <w:tcW w:w="604" w:type="pct"/>
            <w:tcBorders>
              <w:tl2br w:val="nil"/>
              <w:tr2bl w:val="nil"/>
            </w:tcBorders>
            <w:shd w:val="clear" w:color="auto" w:fill="auto"/>
            <w:noWrap/>
            <w:tcMar>
              <w:top w:w="15" w:type="dxa"/>
              <w:left w:w="15" w:type="dxa"/>
              <w:right w:w="15" w:type="dxa"/>
            </w:tcMar>
            <w:vAlign w:val="center"/>
          </w:tcPr>
          <w:p>
            <w:pPr>
              <w:pStyle w:val="23"/>
              <w:bidi w:val="0"/>
              <w:ind w:firstLine="0" w:firstLineChars="0"/>
              <w:rPr>
                <w:rFonts w:hint="eastAsia"/>
              </w:rPr>
            </w:pPr>
            <w:r>
              <w:rPr>
                <w:rFonts w:hint="eastAsia"/>
                <w:lang w:val="en-US" w:eastAsia="zh-CN"/>
              </w:rPr>
              <w:t>个</w:t>
            </w:r>
          </w:p>
        </w:tc>
        <w:tc>
          <w:tcPr>
            <w:tcW w:w="604"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1518" w:type="pct"/>
            <w:vMerge w:val="continue"/>
            <w:tcBorders>
              <w:tl2br w:val="nil"/>
              <w:tr2bl w:val="nil"/>
            </w:tcBorders>
            <w:shd w:val="clear" w:color="auto" w:fill="auto"/>
            <w:noWrap/>
            <w:tcMar>
              <w:top w:w="15" w:type="dxa"/>
              <w:left w:w="15" w:type="dxa"/>
              <w:right w:w="15" w:type="dxa"/>
            </w:tcMar>
            <w:vAlign w:val="center"/>
          </w:tcPr>
          <w:p>
            <w:pPr>
              <w:pStyle w:val="23"/>
              <w:bidi w:val="0"/>
              <w:rPr>
                <w:rFonts w:hint="eastAsia"/>
              </w:rPr>
            </w:pPr>
          </w:p>
        </w:tc>
        <w:tc>
          <w:tcPr>
            <w:tcW w:w="1000" w:type="pct"/>
            <w:vMerge w:val="continue"/>
            <w:tcBorders>
              <w:tl2br w:val="nil"/>
              <w:tr2bl w:val="nil"/>
            </w:tcBorders>
            <w:shd w:val="clear" w:color="auto" w:fill="auto"/>
            <w:noWrap/>
            <w:tcMar>
              <w:top w:w="15" w:type="dxa"/>
              <w:left w:w="15" w:type="dxa"/>
              <w:right w:w="15" w:type="dxa"/>
            </w:tcMar>
            <w:vAlign w:val="center"/>
          </w:tcPr>
          <w:p>
            <w:pPr>
              <w:pStyle w:val="23"/>
              <w:bidi w:val="0"/>
              <w:rPr>
                <w:rFonts w:hint="eastAsia"/>
              </w:rPr>
            </w:pPr>
          </w:p>
        </w:tc>
        <w:tc>
          <w:tcPr>
            <w:tcW w:w="1271"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表土回覆</w:t>
            </w:r>
          </w:p>
        </w:tc>
        <w:tc>
          <w:tcPr>
            <w:tcW w:w="604" w:type="pct"/>
            <w:tcBorders>
              <w:tl2br w:val="nil"/>
              <w:tr2bl w:val="nil"/>
            </w:tcBorders>
            <w:shd w:val="clear" w:color="auto" w:fill="auto"/>
            <w:noWrap/>
            <w:tcMar>
              <w:top w:w="15" w:type="dxa"/>
              <w:left w:w="15" w:type="dxa"/>
              <w:right w:w="15" w:type="dxa"/>
            </w:tcMar>
            <w:vAlign w:val="center"/>
          </w:tcPr>
          <w:p>
            <w:pPr>
              <w:pStyle w:val="23"/>
              <w:bidi w:val="0"/>
              <w:ind w:firstLine="0" w:firstLineChars="0"/>
              <w:rPr>
                <w:rFonts w:hint="eastAsia"/>
              </w:rPr>
            </w:pPr>
            <w:r>
              <w:rPr>
                <w:rFonts w:hint="eastAsia"/>
                <w:lang w:val="en-US" w:eastAsia="zh-CN"/>
              </w:rPr>
              <w:t>m</w:t>
            </w:r>
            <w:r>
              <w:rPr>
                <w:rFonts w:hint="eastAsia"/>
                <w:vertAlign w:val="superscript"/>
                <w:lang w:val="en-US" w:eastAsia="zh-CN"/>
              </w:rPr>
              <w:t>3</w:t>
            </w:r>
          </w:p>
        </w:tc>
        <w:tc>
          <w:tcPr>
            <w:tcW w:w="604"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300</w:t>
            </w:r>
          </w:p>
        </w:tc>
      </w:tr>
    </w:tbl>
    <w:p>
      <w:pPr>
        <w:pStyle w:val="5"/>
        <w:rPr>
          <w:rFonts w:cs="Times New Roman"/>
        </w:rPr>
      </w:pPr>
      <w:r>
        <w:rPr>
          <w:rFonts w:hint="eastAsia" w:cs="Times New Roman"/>
          <w:lang w:eastAsia="zh-CN"/>
        </w:rPr>
        <w:t>绿化防治区</w:t>
      </w:r>
    </w:p>
    <w:p>
      <w:r>
        <w:rPr>
          <w:rFonts w:hint="eastAsia"/>
        </w:rPr>
        <w:t>根据批复水土保持方案，</w:t>
      </w:r>
      <w:r>
        <w:rPr>
          <w:rFonts w:hint="eastAsia"/>
          <w:lang w:val="en-US" w:eastAsia="zh-CN"/>
        </w:rPr>
        <w:t>本项目绿化防治</w:t>
      </w:r>
      <w:r>
        <w:rPr>
          <w:rFonts w:hint="eastAsia"/>
        </w:rPr>
        <w:t>区总占地面积</w:t>
      </w:r>
      <w:r>
        <w:rPr>
          <w:rFonts w:hint="eastAsia"/>
          <w:lang w:val="en-US" w:eastAsia="zh-CN"/>
        </w:rPr>
        <w:t>0.21</w:t>
      </w:r>
      <w:r>
        <w:rPr>
          <w:rFonts w:hint="eastAsia"/>
        </w:rPr>
        <w:t>hm</w:t>
      </w:r>
      <w:r>
        <w:rPr>
          <w:rFonts w:hint="eastAsia"/>
          <w:vertAlign w:val="superscript"/>
        </w:rPr>
        <w:t>2</w:t>
      </w:r>
      <w:r>
        <w:rPr>
          <w:rFonts w:hint="eastAsia"/>
        </w:rPr>
        <w:t>，水保方案采取管理措施与水土保持措施进行综合防治。</w:t>
      </w:r>
    </w:p>
    <w:p>
      <w:pPr>
        <w:ind w:firstLine="480"/>
      </w:pPr>
      <w:r>
        <w:rPr>
          <w:rFonts w:hint="eastAsia"/>
          <w:lang w:eastAsia="zh-CN"/>
        </w:rPr>
        <w:t>绿化防治区</w:t>
      </w:r>
      <w:r>
        <w:rPr>
          <w:rFonts w:hint="eastAsia"/>
        </w:rPr>
        <w:t>实施的工程措施措施主要有表土回铺。</w:t>
      </w:r>
    </w:p>
    <w:p>
      <w:pPr>
        <w:pStyle w:val="24"/>
        <w:rPr>
          <w:rFonts w:cs="Times New Roman"/>
        </w:rPr>
      </w:pPr>
    </w:p>
    <w:p>
      <w:pPr>
        <w:pStyle w:val="24"/>
        <w:rPr>
          <w:rFonts w:cs="Times New Roman"/>
        </w:rPr>
      </w:pPr>
    </w:p>
    <w:p>
      <w:pPr>
        <w:pStyle w:val="24"/>
        <w:rPr>
          <w:rFonts w:cs="Times New Roman"/>
        </w:rPr>
      </w:pPr>
      <w:r>
        <w:rPr>
          <w:rFonts w:cs="Times New Roman"/>
        </w:rPr>
        <w:t>表4.1-</w:t>
      </w:r>
      <w:r>
        <w:rPr>
          <w:rFonts w:hint="eastAsia" w:cs="Times New Roman"/>
          <w:lang w:val="en-US" w:eastAsia="zh-CN"/>
        </w:rPr>
        <w:t xml:space="preserve">3 </w:t>
      </w:r>
      <w:r>
        <w:rPr>
          <w:rFonts w:hint="eastAsia" w:cs="Times New Roman"/>
          <w:lang w:eastAsia="zh-CN"/>
        </w:rPr>
        <w:t>绿化防治区</w:t>
      </w:r>
      <w:r>
        <w:rPr>
          <w:rFonts w:cs="Times New Roman"/>
        </w:rPr>
        <w:t>水土保持</w:t>
      </w:r>
      <w:r>
        <w:rPr>
          <w:rFonts w:hint="eastAsia" w:cs="Times New Roman"/>
          <w:lang w:val="en-US" w:eastAsia="zh-CN"/>
        </w:rPr>
        <w:t>工程</w:t>
      </w:r>
      <w:r>
        <w:rPr>
          <w:rFonts w:cs="Times New Roman"/>
        </w:rPr>
        <w:t>措施设计情况</w:t>
      </w:r>
    </w:p>
    <w:tbl>
      <w:tblPr>
        <w:tblStyle w:val="13"/>
        <w:tblW w:w="4998"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autofit"/>
        <w:tblCellMar>
          <w:top w:w="0" w:type="dxa"/>
          <w:left w:w="0" w:type="dxa"/>
          <w:bottom w:w="0" w:type="dxa"/>
          <w:right w:w="0" w:type="dxa"/>
        </w:tblCellMar>
      </w:tblPr>
      <w:tblGrid>
        <w:gridCol w:w="2109"/>
        <w:gridCol w:w="2339"/>
        <w:gridCol w:w="1820"/>
        <w:gridCol w:w="1414"/>
        <w:gridCol w:w="1414"/>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1159" w:type="pct"/>
            <w:tcBorders>
              <w:tl2br w:val="nil"/>
              <w:tr2bl w:val="nil"/>
            </w:tcBorders>
            <w:shd w:val="clear" w:color="auto" w:fill="auto"/>
            <w:noWrap/>
            <w:tcMar>
              <w:top w:w="15" w:type="dxa"/>
              <w:left w:w="15" w:type="dxa"/>
              <w:right w:w="15" w:type="dxa"/>
            </w:tcMar>
            <w:vAlign w:val="center"/>
          </w:tcPr>
          <w:p>
            <w:pPr>
              <w:pStyle w:val="23"/>
              <w:bidi w:val="0"/>
            </w:pPr>
            <w:r>
              <w:rPr>
                <w:rFonts w:hint="eastAsia"/>
                <w:lang w:val="en-US" w:eastAsia="zh-CN"/>
              </w:rPr>
              <w:t>防治分区</w:t>
            </w:r>
          </w:p>
        </w:tc>
        <w:tc>
          <w:tcPr>
            <w:tcW w:w="1285"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措施类型</w:t>
            </w:r>
          </w:p>
        </w:tc>
        <w:tc>
          <w:tcPr>
            <w:tcW w:w="1000"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措施名称</w:t>
            </w:r>
          </w:p>
        </w:tc>
        <w:tc>
          <w:tcPr>
            <w:tcW w:w="777"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单位</w:t>
            </w:r>
          </w:p>
        </w:tc>
        <w:tc>
          <w:tcPr>
            <w:tcW w:w="777"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数量</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1159" w:type="pct"/>
            <w:vMerge w:val="restart"/>
            <w:tcBorders>
              <w:tl2br w:val="nil"/>
              <w:tr2bl w:val="nil"/>
            </w:tcBorders>
            <w:shd w:val="clear" w:color="auto" w:fill="auto"/>
            <w:noWrap/>
            <w:tcMar>
              <w:top w:w="15" w:type="dxa"/>
              <w:left w:w="15" w:type="dxa"/>
              <w:right w:w="15" w:type="dxa"/>
            </w:tcMar>
            <w:vAlign w:val="center"/>
          </w:tcPr>
          <w:p>
            <w:pPr>
              <w:pStyle w:val="23"/>
              <w:bidi w:val="0"/>
            </w:pPr>
            <w:r>
              <w:rPr>
                <w:rFonts w:hint="eastAsia"/>
                <w:lang w:val="en-US" w:eastAsia="zh-CN"/>
              </w:rPr>
              <w:t>绿化防治区</w:t>
            </w:r>
          </w:p>
        </w:tc>
        <w:tc>
          <w:tcPr>
            <w:tcW w:w="1285"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工程措施</w:t>
            </w:r>
          </w:p>
        </w:tc>
        <w:tc>
          <w:tcPr>
            <w:tcW w:w="1000"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表土回覆</w:t>
            </w:r>
          </w:p>
        </w:tc>
        <w:tc>
          <w:tcPr>
            <w:tcW w:w="777"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m</w:t>
            </w:r>
            <w:r>
              <w:rPr>
                <w:rFonts w:hint="eastAsia"/>
                <w:vertAlign w:val="superscript"/>
                <w:lang w:val="en-US" w:eastAsia="zh-CN"/>
              </w:rPr>
              <w:t>3</w:t>
            </w:r>
          </w:p>
        </w:tc>
        <w:tc>
          <w:tcPr>
            <w:tcW w:w="777"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600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1159" w:type="pct"/>
            <w:vMerge w:val="continue"/>
            <w:tcBorders>
              <w:tl2br w:val="nil"/>
              <w:tr2bl w:val="nil"/>
            </w:tcBorders>
            <w:shd w:val="clear" w:color="auto" w:fill="auto"/>
            <w:noWrap/>
            <w:tcMar>
              <w:top w:w="15" w:type="dxa"/>
              <w:left w:w="15" w:type="dxa"/>
              <w:right w:w="15" w:type="dxa"/>
            </w:tcMar>
            <w:vAlign w:val="center"/>
          </w:tcPr>
          <w:p>
            <w:pPr>
              <w:pStyle w:val="23"/>
              <w:bidi w:val="0"/>
              <w:rPr>
                <w:rFonts w:hint="eastAsia"/>
              </w:rPr>
            </w:pPr>
          </w:p>
        </w:tc>
        <w:tc>
          <w:tcPr>
            <w:tcW w:w="1285" w:type="pct"/>
            <w:vMerge w:val="restar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植物措施</w:t>
            </w:r>
          </w:p>
        </w:tc>
        <w:tc>
          <w:tcPr>
            <w:tcW w:w="1000"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栽植乔木</w:t>
            </w:r>
          </w:p>
        </w:tc>
        <w:tc>
          <w:tcPr>
            <w:tcW w:w="777"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株</w:t>
            </w:r>
          </w:p>
        </w:tc>
        <w:tc>
          <w:tcPr>
            <w:tcW w:w="777"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200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1159" w:type="pct"/>
            <w:vMerge w:val="continue"/>
            <w:tcBorders>
              <w:tl2br w:val="nil"/>
              <w:tr2bl w:val="nil"/>
            </w:tcBorders>
            <w:shd w:val="clear" w:color="auto" w:fill="auto"/>
            <w:noWrap/>
            <w:tcMar>
              <w:top w:w="15" w:type="dxa"/>
              <w:left w:w="15" w:type="dxa"/>
              <w:right w:w="15" w:type="dxa"/>
            </w:tcMar>
            <w:vAlign w:val="center"/>
          </w:tcPr>
          <w:p>
            <w:pPr>
              <w:pStyle w:val="23"/>
              <w:bidi w:val="0"/>
              <w:rPr>
                <w:rFonts w:hint="eastAsia"/>
              </w:rPr>
            </w:pPr>
          </w:p>
        </w:tc>
        <w:tc>
          <w:tcPr>
            <w:tcW w:w="1285" w:type="pct"/>
            <w:vMerge w:val="continue"/>
            <w:tcBorders>
              <w:tl2br w:val="nil"/>
              <w:tr2bl w:val="nil"/>
            </w:tcBorders>
            <w:shd w:val="clear" w:color="auto" w:fill="auto"/>
            <w:noWrap/>
            <w:tcMar>
              <w:top w:w="15" w:type="dxa"/>
              <w:left w:w="15" w:type="dxa"/>
              <w:right w:w="15" w:type="dxa"/>
            </w:tcMar>
            <w:vAlign w:val="center"/>
          </w:tcPr>
          <w:p>
            <w:pPr>
              <w:pStyle w:val="23"/>
              <w:bidi w:val="0"/>
              <w:rPr>
                <w:rFonts w:hint="eastAsia"/>
              </w:rPr>
            </w:pPr>
          </w:p>
        </w:tc>
        <w:tc>
          <w:tcPr>
            <w:tcW w:w="1000"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栽植灌木</w:t>
            </w:r>
          </w:p>
        </w:tc>
        <w:tc>
          <w:tcPr>
            <w:tcW w:w="777"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株</w:t>
            </w:r>
          </w:p>
        </w:tc>
        <w:tc>
          <w:tcPr>
            <w:tcW w:w="777"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1000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1159" w:type="pct"/>
            <w:vMerge w:val="continue"/>
            <w:tcBorders>
              <w:tl2br w:val="nil"/>
              <w:tr2bl w:val="nil"/>
            </w:tcBorders>
            <w:shd w:val="clear" w:color="auto" w:fill="auto"/>
            <w:noWrap/>
            <w:tcMar>
              <w:top w:w="15" w:type="dxa"/>
              <w:left w:w="15" w:type="dxa"/>
              <w:right w:w="15" w:type="dxa"/>
            </w:tcMar>
            <w:vAlign w:val="center"/>
          </w:tcPr>
          <w:p>
            <w:pPr>
              <w:pStyle w:val="23"/>
              <w:bidi w:val="0"/>
              <w:rPr>
                <w:rFonts w:hint="eastAsia"/>
              </w:rPr>
            </w:pPr>
          </w:p>
        </w:tc>
        <w:tc>
          <w:tcPr>
            <w:tcW w:w="1285" w:type="pct"/>
            <w:vMerge w:val="continue"/>
            <w:tcBorders>
              <w:tl2br w:val="nil"/>
              <w:tr2bl w:val="nil"/>
            </w:tcBorders>
            <w:shd w:val="clear" w:color="auto" w:fill="auto"/>
            <w:noWrap/>
            <w:tcMar>
              <w:top w:w="15" w:type="dxa"/>
              <w:left w:w="15" w:type="dxa"/>
              <w:right w:w="15" w:type="dxa"/>
            </w:tcMar>
            <w:vAlign w:val="center"/>
          </w:tcPr>
          <w:p>
            <w:pPr>
              <w:pStyle w:val="23"/>
              <w:bidi w:val="0"/>
              <w:rPr>
                <w:rFonts w:hint="eastAsia"/>
              </w:rPr>
            </w:pPr>
          </w:p>
        </w:tc>
        <w:tc>
          <w:tcPr>
            <w:tcW w:w="1000"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直播种草</w:t>
            </w:r>
          </w:p>
        </w:tc>
        <w:tc>
          <w:tcPr>
            <w:tcW w:w="777"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hm</w:t>
            </w:r>
            <w:r>
              <w:rPr>
                <w:rFonts w:hint="eastAsia"/>
                <w:vertAlign w:val="superscript"/>
                <w:lang w:val="en-US" w:eastAsia="zh-CN"/>
              </w:rPr>
              <w:t>2</w:t>
            </w:r>
          </w:p>
        </w:tc>
        <w:tc>
          <w:tcPr>
            <w:tcW w:w="777"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0.1</w:t>
            </w:r>
          </w:p>
        </w:tc>
      </w:tr>
    </w:tbl>
    <w:p>
      <w:pPr>
        <w:pStyle w:val="4"/>
        <w:rPr>
          <w:rFonts w:cs="Times New Roman"/>
        </w:rPr>
      </w:pPr>
      <w:r>
        <w:rPr>
          <w:rFonts w:cs="Times New Roman"/>
        </w:rPr>
        <w:t>工程措施实施情况</w:t>
      </w:r>
    </w:p>
    <w:p>
      <w:pPr>
        <w:ind w:firstLine="480"/>
        <w:rPr>
          <w:rFonts w:cs="Times New Roman"/>
        </w:rPr>
      </w:pPr>
      <w:r>
        <w:rPr>
          <w:rFonts w:cs="Times New Roman"/>
        </w:rPr>
        <w:t>项目于</w:t>
      </w:r>
      <w:r>
        <w:rPr>
          <w:rFonts w:hint="eastAsia" w:cs="Times New Roman"/>
          <w:lang w:eastAsia="zh-CN"/>
        </w:rPr>
        <w:t>2016年9月</w:t>
      </w:r>
      <w:r>
        <w:rPr>
          <w:rFonts w:cs="Times New Roman"/>
        </w:rPr>
        <w:t>开工，</w:t>
      </w:r>
      <w:r>
        <w:rPr>
          <w:rFonts w:hint="eastAsia" w:cs="Times New Roman"/>
        </w:rPr>
        <w:t>于</w:t>
      </w:r>
      <w:r>
        <w:rPr>
          <w:rFonts w:hint="eastAsia" w:cs="Times New Roman"/>
          <w:lang w:eastAsia="zh-CN"/>
        </w:rPr>
        <w:t>2017年9月</w:t>
      </w:r>
      <w:r>
        <w:rPr>
          <w:rFonts w:cs="Times New Roman"/>
        </w:rPr>
        <w:t>竣工，经查阅及核实现场施工记录、资料、现场状况等，水土保持工程措施于工程施工期间完成，总体进度满足主体工程和水土保持“三同时”要求。</w:t>
      </w:r>
    </w:p>
    <w:p>
      <w:pPr>
        <w:pStyle w:val="4"/>
        <w:rPr>
          <w:rFonts w:cs="Times New Roman"/>
        </w:rPr>
      </w:pPr>
      <w:r>
        <w:rPr>
          <w:rFonts w:cs="Times New Roman"/>
        </w:rPr>
        <w:t>工程措施监测结果</w:t>
      </w:r>
    </w:p>
    <w:p>
      <w:pPr>
        <w:ind w:firstLine="480"/>
        <w:rPr>
          <w:rFonts w:cs="Times New Roman"/>
        </w:rPr>
      </w:pPr>
      <w:r>
        <w:rPr>
          <w:rFonts w:cs="Times New Roman"/>
        </w:rPr>
        <w:t>水土保持工程措施量通过现场调查以及查阅施工资料、设计资料获得，批复水保方案设计工程量与实际基本一致，本次验收阶段措施完成情况基本与批复方案一致。</w:t>
      </w:r>
    </w:p>
    <w:p>
      <w:pPr>
        <w:ind w:firstLine="480"/>
        <w:rPr>
          <w:rFonts w:cs="Times New Roman"/>
        </w:rPr>
      </w:pPr>
      <w:r>
        <w:rPr>
          <w:rFonts w:cs="Times New Roman"/>
        </w:rPr>
        <w:t>实际完成和批复方案的水土保持工程措施量对比表4.1-</w:t>
      </w:r>
      <w:r>
        <w:rPr>
          <w:rFonts w:hint="eastAsia" w:cs="Times New Roman"/>
          <w:lang w:val="en-US" w:eastAsia="zh-CN"/>
        </w:rPr>
        <w:t>4</w:t>
      </w:r>
      <w:r>
        <w:rPr>
          <w:rFonts w:cs="Times New Roman"/>
        </w:rPr>
        <w:t>。</w:t>
      </w:r>
    </w:p>
    <w:p>
      <w:pPr>
        <w:pStyle w:val="24"/>
      </w:pPr>
      <w:r>
        <w:t>表4.1-</w:t>
      </w:r>
      <w:r>
        <w:rPr>
          <w:rFonts w:hint="eastAsia"/>
          <w:lang w:val="en-US" w:eastAsia="zh-CN"/>
        </w:rPr>
        <w:t>4</w:t>
      </w:r>
      <w:r>
        <w:t xml:space="preserve">   实际完成和批复方案的水土保持工程措施工程量对比</w:t>
      </w:r>
    </w:p>
    <w:tbl>
      <w:tblPr>
        <w:tblStyle w:val="13"/>
        <w:tblW w:w="5000"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fixed"/>
        <w:tblCellMar>
          <w:top w:w="0" w:type="dxa"/>
          <w:left w:w="0" w:type="dxa"/>
          <w:bottom w:w="0" w:type="dxa"/>
          <w:right w:w="0" w:type="dxa"/>
        </w:tblCellMar>
      </w:tblPr>
      <w:tblGrid>
        <w:gridCol w:w="1415"/>
        <w:gridCol w:w="1006"/>
        <w:gridCol w:w="765"/>
        <w:gridCol w:w="1410"/>
        <w:gridCol w:w="1381"/>
        <w:gridCol w:w="794"/>
        <w:gridCol w:w="2330"/>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560" w:hRule="atLeast"/>
        </w:trPr>
        <w:tc>
          <w:tcPr>
            <w:tcW w:w="777" w:type="pct"/>
            <w:tcBorders>
              <w:tl2br w:val="nil"/>
              <w:tr2bl w:val="nil"/>
            </w:tcBorders>
            <w:shd w:val="clear" w:color="auto" w:fill="auto"/>
            <w:tcMar>
              <w:top w:w="15" w:type="dxa"/>
              <w:left w:w="15" w:type="dxa"/>
              <w:right w:w="15" w:type="dxa"/>
            </w:tcMar>
            <w:vAlign w:val="center"/>
          </w:tcPr>
          <w:p>
            <w:pPr>
              <w:pStyle w:val="23"/>
              <w:bidi w:val="0"/>
              <w:jc w:val="center"/>
            </w:pPr>
            <w:bookmarkStart w:id="58" w:name="_Toc2534369"/>
            <w:bookmarkStart w:id="59" w:name="_Toc22628"/>
            <w:bookmarkStart w:id="60" w:name="_Toc5825912"/>
            <w:r>
              <w:rPr>
                <w:rFonts w:hint="eastAsia"/>
                <w:lang w:val="en-US" w:eastAsia="zh-CN"/>
              </w:rPr>
              <w:t>防治分区</w:t>
            </w:r>
          </w:p>
        </w:tc>
        <w:tc>
          <w:tcPr>
            <w:tcW w:w="552" w:type="pct"/>
            <w:tcBorders>
              <w:tl2br w:val="nil"/>
              <w:tr2bl w:val="nil"/>
            </w:tcBorders>
            <w:shd w:val="clear" w:color="auto" w:fill="auto"/>
            <w:tcMar>
              <w:top w:w="15" w:type="dxa"/>
              <w:left w:w="15" w:type="dxa"/>
              <w:right w:w="15" w:type="dxa"/>
            </w:tcMar>
            <w:vAlign w:val="center"/>
          </w:tcPr>
          <w:p>
            <w:pPr>
              <w:pStyle w:val="23"/>
              <w:bidi w:val="0"/>
              <w:jc w:val="center"/>
              <w:rPr>
                <w:rFonts w:hint="eastAsia"/>
              </w:rPr>
            </w:pPr>
            <w:r>
              <w:rPr>
                <w:rFonts w:hint="eastAsia"/>
                <w:lang w:val="en-US" w:eastAsia="zh-CN"/>
              </w:rPr>
              <w:t>具体措施</w:t>
            </w:r>
          </w:p>
        </w:tc>
        <w:tc>
          <w:tcPr>
            <w:tcW w:w="420" w:type="pct"/>
            <w:tcBorders>
              <w:tl2br w:val="nil"/>
              <w:tr2bl w:val="nil"/>
            </w:tcBorders>
            <w:shd w:val="clear" w:color="auto" w:fill="auto"/>
            <w:tcMar>
              <w:top w:w="15" w:type="dxa"/>
              <w:left w:w="15" w:type="dxa"/>
              <w:right w:w="15" w:type="dxa"/>
            </w:tcMar>
            <w:vAlign w:val="center"/>
          </w:tcPr>
          <w:p>
            <w:pPr>
              <w:pStyle w:val="23"/>
              <w:bidi w:val="0"/>
              <w:jc w:val="center"/>
              <w:rPr>
                <w:rFonts w:hint="eastAsia"/>
              </w:rPr>
            </w:pPr>
            <w:r>
              <w:rPr>
                <w:rFonts w:hint="eastAsia"/>
                <w:lang w:val="en-US" w:eastAsia="zh-CN"/>
              </w:rPr>
              <w:t>单位</w:t>
            </w:r>
          </w:p>
        </w:tc>
        <w:tc>
          <w:tcPr>
            <w:tcW w:w="774" w:type="pct"/>
            <w:tcBorders>
              <w:tl2br w:val="nil"/>
              <w:tr2bl w:val="nil"/>
            </w:tcBorders>
            <w:shd w:val="clear" w:color="auto" w:fill="auto"/>
            <w:tcMar>
              <w:top w:w="15" w:type="dxa"/>
              <w:left w:w="15" w:type="dxa"/>
              <w:right w:w="15" w:type="dxa"/>
            </w:tcMar>
            <w:vAlign w:val="center"/>
          </w:tcPr>
          <w:p>
            <w:pPr>
              <w:pStyle w:val="23"/>
              <w:bidi w:val="0"/>
              <w:jc w:val="center"/>
              <w:rPr>
                <w:rFonts w:hint="eastAsia"/>
              </w:rPr>
            </w:pPr>
            <w:r>
              <w:rPr>
                <w:rFonts w:hint="eastAsia"/>
                <w:lang w:val="en-US" w:eastAsia="zh-CN"/>
              </w:rPr>
              <w:t>方案设计工程量</w:t>
            </w:r>
          </w:p>
        </w:tc>
        <w:tc>
          <w:tcPr>
            <w:tcW w:w="758" w:type="pct"/>
            <w:tcBorders>
              <w:tl2br w:val="nil"/>
              <w:tr2bl w:val="nil"/>
            </w:tcBorders>
            <w:shd w:val="clear" w:color="auto" w:fill="auto"/>
            <w:tcMar>
              <w:top w:w="15" w:type="dxa"/>
              <w:left w:w="15" w:type="dxa"/>
              <w:right w:w="15" w:type="dxa"/>
            </w:tcMar>
            <w:vAlign w:val="center"/>
          </w:tcPr>
          <w:p>
            <w:pPr>
              <w:pStyle w:val="23"/>
              <w:bidi w:val="0"/>
              <w:jc w:val="center"/>
              <w:rPr>
                <w:rFonts w:hint="eastAsia"/>
              </w:rPr>
            </w:pPr>
            <w:r>
              <w:rPr>
                <w:rFonts w:hint="eastAsia"/>
                <w:lang w:val="en-US" w:eastAsia="zh-CN"/>
              </w:rPr>
              <w:t>实际完成工程量</w:t>
            </w:r>
          </w:p>
        </w:tc>
        <w:tc>
          <w:tcPr>
            <w:tcW w:w="436" w:type="pct"/>
            <w:tcBorders>
              <w:tl2br w:val="nil"/>
              <w:tr2bl w:val="nil"/>
            </w:tcBorders>
            <w:shd w:val="clear" w:color="auto" w:fill="auto"/>
            <w:tcMar>
              <w:top w:w="15" w:type="dxa"/>
              <w:left w:w="15" w:type="dxa"/>
              <w:right w:w="15" w:type="dxa"/>
            </w:tcMar>
            <w:vAlign w:val="center"/>
          </w:tcPr>
          <w:p>
            <w:pPr>
              <w:pStyle w:val="23"/>
              <w:bidi w:val="0"/>
              <w:jc w:val="center"/>
              <w:rPr>
                <w:rFonts w:hint="eastAsia"/>
              </w:rPr>
            </w:pPr>
            <w:r>
              <w:rPr>
                <w:rFonts w:hint="eastAsia"/>
                <w:lang w:val="en-US" w:eastAsia="zh-CN"/>
              </w:rPr>
              <w:t>变化情况</w:t>
            </w:r>
          </w:p>
        </w:tc>
        <w:tc>
          <w:tcPr>
            <w:tcW w:w="1280" w:type="pct"/>
            <w:tcBorders>
              <w:tl2br w:val="nil"/>
              <w:tr2bl w:val="nil"/>
            </w:tcBorders>
            <w:shd w:val="clear" w:color="auto" w:fill="auto"/>
            <w:tcMar>
              <w:top w:w="15" w:type="dxa"/>
              <w:left w:w="15" w:type="dxa"/>
              <w:right w:w="15" w:type="dxa"/>
            </w:tcMar>
            <w:vAlign w:val="center"/>
          </w:tcPr>
          <w:p>
            <w:pPr>
              <w:pStyle w:val="23"/>
              <w:bidi w:val="0"/>
              <w:jc w:val="center"/>
              <w:rPr>
                <w:rFonts w:hint="eastAsia"/>
              </w:rPr>
            </w:pPr>
            <w:r>
              <w:rPr>
                <w:rFonts w:hint="eastAsia"/>
                <w:lang w:val="en-US" w:eastAsia="zh-CN"/>
              </w:rPr>
              <w:t>变化原因</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777" w:type="pct"/>
            <w:tcBorders>
              <w:tl2br w:val="nil"/>
              <w:tr2bl w:val="nil"/>
            </w:tcBorders>
            <w:shd w:val="clear" w:color="auto" w:fill="auto"/>
            <w:noWrap/>
            <w:tcMar>
              <w:top w:w="15" w:type="dxa"/>
              <w:left w:w="15" w:type="dxa"/>
              <w:right w:w="15" w:type="dxa"/>
            </w:tcMar>
            <w:vAlign w:val="center"/>
          </w:tcPr>
          <w:p>
            <w:pPr>
              <w:pStyle w:val="23"/>
              <w:bidi w:val="0"/>
              <w:jc w:val="center"/>
            </w:pPr>
            <w:r>
              <w:rPr>
                <w:rFonts w:hint="eastAsia"/>
                <w:lang w:val="en-US" w:eastAsia="zh-CN"/>
              </w:rPr>
              <w:t>建构筑物防治区</w:t>
            </w:r>
          </w:p>
        </w:tc>
        <w:tc>
          <w:tcPr>
            <w:tcW w:w="552" w:type="pct"/>
            <w:tcBorders>
              <w:tl2br w:val="nil"/>
              <w:tr2bl w:val="nil"/>
            </w:tcBorders>
            <w:shd w:val="clear" w:color="auto" w:fill="auto"/>
            <w:noWrap/>
            <w:tcMar>
              <w:top w:w="15" w:type="dxa"/>
              <w:left w:w="15" w:type="dxa"/>
              <w:right w:w="15" w:type="dxa"/>
            </w:tcMar>
            <w:vAlign w:val="center"/>
          </w:tcPr>
          <w:p>
            <w:pPr>
              <w:pStyle w:val="23"/>
              <w:bidi w:val="0"/>
              <w:jc w:val="center"/>
              <w:rPr>
                <w:rFonts w:hint="eastAsia"/>
              </w:rPr>
            </w:pPr>
            <w:r>
              <w:rPr>
                <w:rFonts w:hint="eastAsia"/>
                <w:lang w:val="en-US" w:eastAsia="zh-CN"/>
              </w:rPr>
              <w:t>表土剥离</w:t>
            </w:r>
          </w:p>
        </w:tc>
        <w:tc>
          <w:tcPr>
            <w:tcW w:w="420" w:type="pct"/>
            <w:tcBorders>
              <w:tl2br w:val="nil"/>
              <w:tr2bl w:val="nil"/>
            </w:tcBorders>
            <w:shd w:val="clear" w:color="auto" w:fill="auto"/>
            <w:noWrap/>
            <w:tcMar>
              <w:top w:w="15" w:type="dxa"/>
              <w:left w:w="15" w:type="dxa"/>
              <w:right w:w="15" w:type="dxa"/>
            </w:tcMar>
            <w:vAlign w:val="center"/>
          </w:tcPr>
          <w:p>
            <w:pPr>
              <w:pStyle w:val="23"/>
              <w:bidi w:val="0"/>
              <w:jc w:val="center"/>
              <w:rPr>
                <w:rFonts w:hint="eastAsia"/>
              </w:rPr>
            </w:pPr>
            <w:r>
              <w:rPr>
                <w:rFonts w:hint="eastAsia"/>
                <w:lang w:val="en-US" w:eastAsia="zh-CN"/>
              </w:rPr>
              <w:t>m</w:t>
            </w:r>
            <w:r>
              <w:rPr>
                <w:rFonts w:hint="eastAsia"/>
                <w:vertAlign w:val="superscript"/>
                <w:lang w:val="en-US" w:eastAsia="zh-CN"/>
              </w:rPr>
              <w:t>3</w:t>
            </w:r>
          </w:p>
        </w:tc>
        <w:tc>
          <w:tcPr>
            <w:tcW w:w="774" w:type="pct"/>
            <w:tcBorders>
              <w:tl2br w:val="nil"/>
              <w:tr2bl w:val="nil"/>
            </w:tcBorders>
            <w:shd w:val="clear" w:color="auto" w:fill="auto"/>
            <w:noWrap/>
            <w:tcMar>
              <w:top w:w="15" w:type="dxa"/>
              <w:left w:w="15" w:type="dxa"/>
              <w:right w:w="15" w:type="dxa"/>
            </w:tcMar>
            <w:vAlign w:val="center"/>
          </w:tcPr>
          <w:p>
            <w:pPr>
              <w:pStyle w:val="23"/>
              <w:bidi w:val="0"/>
              <w:jc w:val="center"/>
              <w:rPr>
                <w:rFonts w:hint="eastAsia"/>
              </w:rPr>
            </w:pPr>
            <w:r>
              <w:rPr>
                <w:rFonts w:hint="eastAsia"/>
                <w:lang w:val="en-US" w:eastAsia="zh-CN"/>
              </w:rPr>
              <w:t>900</w:t>
            </w:r>
          </w:p>
        </w:tc>
        <w:tc>
          <w:tcPr>
            <w:tcW w:w="758" w:type="pct"/>
            <w:tcBorders>
              <w:tl2br w:val="nil"/>
              <w:tr2bl w:val="nil"/>
            </w:tcBorders>
            <w:shd w:val="clear" w:color="auto" w:fill="auto"/>
            <w:noWrap/>
            <w:tcMar>
              <w:top w:w="15" w:type="dxa"/>
              <w:left w:w="15" w:type="dxa"/>
              <w:right w:w="15" w:type="dxa"/>
            </w:tcMar>
            <w:vAlign w:val="center"/>
          </w:tcPr>
          <w:p>
            <w:pPr>
              <w:pStyle w:val="23"/>
              <w:bidi w:val="0"/>
              <w:jc w:val="center"/>
              <w:rPr>
                <w:rFonts w:hint="eastAsia"/>
              </w:rPr>
            </w:pPr>
            <w:r>
              <w:rPr>
                <w:rFonts w:hint="eastAsia"/>
                <w:lang w:val="en-US" w:eastAsia="zh-CN"/>
              </w:rPr>
              <w:t>900</w:t>
            </w:r>
          </w:p>
        </w:tc>
        <w:tc>
          <w:tcPr>
            <w:tcW w:w="436" w:type="pct"/>
            <w:tcBorders>
              <w:tl2br w:val="nil"/>
              <w:tr2bl w:val="nil"/>
            </w:tcBorders>
            <w:shd w:val="clear" w:color="auto" w:fill="auto"/>
            <w:noWrap/>
            <w:tcMar>
              <w:top w:w="15" w:type="dxa"/>
              <w:left w:w="15" w:type="dxa"/>
              <w:right w:w="15" w:type="dxa"/>
            </w:tcMar>
            <w:vAlign w:val="center"/>
          </w:tcPr>
          <w:p>
            <w:pPr>
              <w:pStyle w:val="23"/>
              <w:bidi w:val="0"/>
              <w:jc w:val="center"/>
              <w:rPr>
                <w:rFonts w:hint="eastAsia"/>
              </w:rPr>
            </w:pPr>
            <w:r>
              <w:rPr>
                <w:rFonts w:hint="eastAsia"/>
                <w:lang w:val="en-US" w:eastAsia="zh-CN"/>
              </w:rPr>
              <w:t>0</w:t>
            </w:r>
          </w:p>
        </w:tc>
        <w:tc>
          <w:tcPr>
            <w:tcW w:w="1280" w:type="pct"/>
            <w:tcBorders>
              <w:tl2br w:val="nil"/>
              <w:tr2bl w:val="nil"/>
            </w:tcBorders>
            <w:shd w:val="clear" w:color="auto" w:fill="auto"/>
            <w:noWrap/>
            <w:tcMar>
              <w:top w:w="15" w:type="dxa"/>
              <w:left w:w="15" w:type="dxa"/>
              <w:right w:w="15" w:type="dxa"/>
            </w:tcMar>
            <w:vAlign w:val="center"/>
          </w:tcPr>
          <w:p>
            <w:pPr>
              <w:pStyle w:val="23"/>
              <w:bidi w:val="0"/>
              <w:jc w:val="center"/>
              <w:rPr>
                <w:rFonts w:hint="default" w:eastAsia="仿宋"/>
                <w:lang w:val="en-US" w:eastAsia="zh-CN"/>
              </w:rPr>
            </w:pPr>
            <w:r>
              <w:rPr>
                <w:rFonts w:hint="eastAsia"/>
                <w:lang w:val="en-US" w:eastAsia="zh-CN"/>
              </w:rPr>
              <w:t>基本无变化</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777" w:type="pct"/>
            <w:vMerge w:val="restart"/>
            <w:tcBorders>
              <w:tl2br w:val="nil"/>
              <w:tr2bl w:val="nil"/>
            </w:tcBorders>
            <w:shd w:val="clear" w:color="auto" w:fill="auto"/>
            <w:noWrap/>
            <w:tcMar>
              <w:top w:w="15" w:type="dxa"/>
              <w:left w:w="15" w:type="dxa"/>
              <w:right w:w="15" w:type="dxa"/>
            </w:tcMar>
            <w:vAlign w:val="center"/>
          </w:tcPr>
          <w:p>
            <w:pPr>
              <w:pStyle w:val="23"/>
              <w:bidi w:val="0"/>
              <w:jc w:val="center"/>
              <w:rPr>
                <w:rFonts w:hint="eastAsia"/>
              </w:rPr>
            </w:pPr>
            <w:r>
              <w:rPr>
                <w:rFonts w:hint="eastAsia"/>
                <w:lang w:val="en-US" w:eastAsia="zh-CN"/>
              </w:rPr>
              <w:t>道路及硬化工程防治区</w:t>
            </w:r>
          </w:p>
        </w:tc>
        <w:tc>
          <w:tcPr>
            <w:tcW w:w="552" w:type="pct"/>
            <w:tcBorders>
              <w:tl2br w:val="nil"/>
              <w:tr2bl w:val="nil"/>
            </w:tcBorders>
            <w:shd w:val="clear" w:color="auto" w:fill="auto"/>
            <w:noWrap/>
            <w:tcMar>
              <w:top w:w="15" w:type="dxa"/>
              <w:left w:w="15" w:type="dxa"/>
              <w:right w:w="15" w:type="dxa"/>
            </w:tcMar>
            <w:vAlign w:val="center"/>
          </w:tcPr>
          <w:p>
            <w:pPr>
              <w:pStyle w:val="23"/>
              <w:bidi w:val="0"/>
              <w:jc w:val="center"/>
              <w:rPr>
                <w:rFonts w:hint="eastAsia"/>
              </w:rPr>
            </w:pPr>
            <w:r>
              <w:rPr>
                <w:rFonts w:hint="eastAsia"/>
                <w:lang w:val="en-US" w:eastAsia="zh-CN"/>
              </w:rPr>
              <w:t>排水沟</w:t>
            </w:r>
          </w:p>
        </w:tc>
        <w:tc>
          <w:tcPr>
            <w:tcW w:w="420" w:type="pct"/>
            <w:tcBorders>
              <w:tl2br w:val="nil"/>
              <w:tr2bl w:val="nil"/>
            </w:tcBorders>
            <w:shd w:val="clear" w:color="auto" w:fill="auto"/>
            <w:noWrap/>
            <w:tcMar>
              <w:top w:w="15" w:type="dxa"/>
              <w:left w:w="15" w:type="dxa"/>
              <w:right w:w="15" w:type="dxa"/>
            </w:tcMar>
            <w:vAlign w:val="center"/>
          </w:tcPr>
          <w:p>
            <w:pPr>
              <w:pStyle w:val="23"/>
              <w:bidi w:val="0"/>
              <w:jc w:val="center"/>
              <w:rPr>
                <w:rFonts w:hint="eastAsia"/>
              </w:rPr>
            </w:pPr>
            <w:r>
              <w:rPr>
                <w:rFonts w:hint="eastAsia"/>
                <w:lang w:val="en-US" w:eastAsia="zh-CN"/>
              </w:rPr>
              <w:t>m</w:t>
            </w:r>
          </w:p>
        </w:tc>
        <w:tc>
          <w:tcPr>
            <w:tcW w:w="774" w:type="pct"/>
            <w:tcBorders>
              <w:tl2br w:val="nil"/>
              <w:tr2bl w:val="nil"/>
            </w:tcBorders>
            <w:shd w:val="clear" w:color="auto" w:fill="auto"/>
            <w:noWrap/>
            <w:tcMar>
              <w:top w:w="15" w:type="dxa"/>
              <w:left w:w="15" w:type="dxa"/>
              <w:right w:w="15" w:type="dxa"/>
            </w:tcMar>
            <w:vAlign w:val="center"/>
          </w:tcPr>
          <w:p>
            <w:pPr>
              <w:pStyle w:val="23"/>
              <w:bidi w:val="0"/>
              <w:jc w:val="center"/>
              <w:rPr>
                <w:rFonts w:hint="eastAsia"/>
              </w:rPr>
            </w:pPr>
            <w:r>
              <w:rPr>
                <w:rFonts w:hint="eastAsia"/>
                <w:lang w:val="en-US" w:eastAsia="zh-CN"/>
              </w:rPr>
              <w:t>600</w:t>
            </w:r>
          </w:p>
        </w:tc>
        <w:tc>
          <w:tcPr>
            <w:tcW w:w="758" w:type="pct"/>
            <w:tcBorders>
              <w:tl2br w:val="nil"/>
              <w:tr2bl w:val="nil"/>
            </w:tcBorders>
            <w:shd w:val="clear" w:color="auto" w:fill="auto"/>
            <w:noWrap/>
            <w:tcMar>
              <w:top w:w="15" w:type="dxa"/>
              <w:left w:w="15" w:type="dxa"/>
              <w:right w:w="15" w:type="dxa"/>
            </w:tcMar>
            <w:vAlign w:val="center"/>
          </w:tcPr>
          <w:p>
            <w:pPr>
              <w:pStyle w:val="23"/>
              <w:bidi w:val="0"/>
              <w:jc w:val="center"/>
              <w:rPr>
                <w:rFonts w:hint="eastAsia"/>
              </w:rPr>
            </w:pPr>
            <w:r>
              <w:rPr>
                <w:rFonts w:hint="eastAsia"/>
                <w:lang w:val="en-US" w:eastAsia="zh-CN"/>
              </w:rPr>
              <w:t>660</w:t>
            </w:r>
          </w:p>
        </w:tc>
        <w:tc>
          <w:tcPr>
            <w:tcW w:w="436" w:type="pct"/>
            <w:tcBorders>
              <w:tl2br w:val="nil"/>
              <w:tr2bl w:val="nil"/>
            </w:tcBorders>
            <w:shd w:val="clear" w:color="auto" w:fill="auto"/>
            <w:noWrap/>
            <w:tcMar>
              <w:top w:w="15" w:type="dxa"/>
              <w:left w:w="15" w:type="dxa"/>
              <w:right w:w="15" w:type="dxa"/>
            </w:tcMar>
            <w:vAlign w:val="center"/>
          </w:tcPr>
          <w:p>
            <w:pPr>
              <w:pStyle w:val="23"/>
              <w:bidi w:val="0"/>
              <w:jc w:val="center"/>
              <w:rPr>
                <w:rFonts w:hint="eastAsia"/>
              </w:rPr>
            </w:pPr>
            <w:r>
              <w:rPr>
                <w:rFonts w:hint="eastAsia"/>
                <w:lang w:val="en-US" w:eastAsia="zh-CN"/>
              </w:rPr>
              <w:t>60</w:t>
            </w:r>
          </w:p>
        </w:tc>
        <w:tc>
          <w:tcPr>
            <w:tcW w:w="1280" w:type="pct"/>
            <w:tcBorders>
              <w:tl2br w:val="nil"/>
              <w:tr2bl w:val="nil"/>
            </w:tcBorders>
            <w:shd w:val="clear" w:color="auto" w:fill="auto"/>
            <w:noWrap/>
            <w:tcMar>
              <w:top w:w="15" w:type="dxa"/>
              <w:left w:w="15" w:type="dxa"/>
              <w:right w:w="15" w:type="dxa"/>
            </w:tcMar>
            <w:vAlign w:val="center"/>
          </w:tcPr>
          <w:p>
            <w:pPr>
              <w:pStyle w:val="23"/>
              <w:bidi w:val="0"/>
              <w:jc w:val="center"/>
              <w:rPr>
                <w:rFonts w:hint="eastAsia"/>
              </w:rPr>
            </w:pPr>
            <w:r>
              <w:rPr>
                <w:rFonts w:hint="eastAsia"/>
                <w:lang w:val="en-US" w:eastAsia="zh-CN"/>
              </w:rPr>
              <w:t>根据实际情况进行调整</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777" w:type="pct"/>
            <w:vMerge w:val="continue"/>
            <w:tcBorders>
              <w:tl2br w:val="nil"/>
              <w:tr2bl w:val="nil"/>
            </w:tcBorders>
            <w:shd w:val="clear" w:color="auto" w:fill="auto"/>
            <w:noWrap/>
            <w:tcMar>
              <w:top w:w="15" w:type="dxa"/>
              <w:left w:w="15" w:type="dxa"/>
              <w:right w:w="15" w:type="dxa"/>
            </w:tcMar>
            <w:vAlign w:val="center"/>
          </w:tcPr>
          <w:p>
            <w:pPr>
              <w:pStyle w:val="23"/>
              <w:bidi w:val="0"/>
              <w:jc w:val="center"/>
              <w:rPr>
                <w:rFonts w:hint="eastAsia"/>
              </w:rPr>
            </w:pPr>
          </w:p>
        </w:tc>
        <w:tc>
          <w:tcPr>
            <w:tcW w:w="552" w:type="pct"/>
            <w:tcBorders>
              <w:tl2br w:val="nil"/>
              <w:tr2bl w:val="nil"/>
            </w:tcBorders>
            <w:shd w:val="clear" w:color="auto" w:fill="auto"/>
            <w:noWrap/>
            <w:tcMar>
              <w:top w:w="15" w:type="dxa"/>
              <w:left w:w="15" w:type="dxa"/>
              <w:right w:w="15" w:type="dxa"/>
            </w:tcMar>
            <w:vAlign w:val="center"/>
          </w:tcPr>
          <w:p>
            <w:pPr>
              <w:pStyle w:val="23"/>
              <w:bidi w:val="0"/>
              <w:jc w:val="center"/>
              <w:rPr>
                <w:rFonts w:hint="eastAsia"/>
              </w:rPr>
            </w:pPr>
            <w:r>
              <w:rPr>
                <w:rFonts w:hint="eastAsia"/>
                <w:lang w:val="en-US" w:eastAsia="zh-CN"/>
              </w:rPr>
              <w:t>洗车槽</w:t>
            </w:r>
          </w:p>
        </w:tc>
        <w:tc>
          <w:tcPr>
            <w:tcW w:w="420" w:type="pct"/>
            <w:tcBorders>
              <w:tl2br w:val="nil"/>
              <w:tr2bl w:val="nil"/>
            </w:tcBorders>
            <w:shd w:val="clear" w:color="auto" w:fill="auto"/>
            <w:noWrap/>
            <w:tcMar>
              <w:top w:w="15" w:type="dxa"/>
              <w:left w:w="15" w:type="dxa"/>
              <w:right w:w="15" w:type="dxa"/>
            </w:tcMar>
            <w:vAlign w:val="center"/>
          </w:tcPr>
          <w:p>
            <w:pPr>
              <w:pStyle w:val="23"/>
              <w:bidi w:val="0"/>
              <w:jc w:val="center"/>
              <w:rPr>
                <w:rFonts w:hint="eastAsia"/>
              </w:rPr>
            </w:pPr>
            <w:r>
              <w:rPr>
                <w:rFonts w:hint="eastAsia"/>
                <w:lang w:val="en-US" w:eastAsia="zh-CN"/>
              </w:rPr>
              <w:t>个</w:t>
            </w:r>
          </w:p>
        </w:tc>
        <w:tc>
          <w:tcPr>
            <w:tcW w:w="774" w:type="pct"/>
            <w:tcBorders>
              <w:tl2br w:val="nil"/>
              <w:tr2bl w:val="nil"/>
            </w:tcBorders>
            <w:shd w:val="clear" w:color="auto" w:fill="auto"/>
            <w:noWrap/>
            <w:tcMar>
              <w:top w:w="15" w:type="dxa"/>
              <w:left w:w="15" w:type="dxa"/>
              <w:right w:w="15" w:type="dxa"/>
            </w:tcMar>
            <w:vAlign w:val="center"/>
          </w:tcPr>
          <w:p>
            <w:pPr>
              <w:pStyle w:val="23"/>
              <w:bidi w:val="0"/>
              <w:jc w:val="center"/>
              <w:rPr>
                <w:rFonts w:hint="eastAsia"/>
              </w:rPr>
            </w:pPr>
            <w:r>
              <w:rPr>
                <w:rFonts w:hint="eastAsia"/>
                <w:lang w:val="en-US" w:eastAsia="zh-CN"/>
              </w:rPr>
              <w:t>1</w:t>
            </w:r>
          </w:p>
        </w:tc>
        <w:tc>
          <w:tcPr>
            <w:tcW w:w="758" w:type="pct"/>
            <w:tcBorders>
              <w:tl2br w:val="nil"/>
              <w:tr2bl w:val="nil"/>
            </w:tcBorders>
            <w:shd w:val="clear" w:color="auto" w:fill="auto"/>
            <w:noWrap/>
            <w:tcMar>
              <w:top w:w="15" w:type="dxa"/>
              <w:left w:w="15" w:type="dxa"/>
              <w:right w:w="15" w:type="dxa"/>
            </w:tcMar>
            <w:vAlign w:val="center"/>
          </w:tcPr>
          <w:p>
            <w:pPr>
              <w:pStyle w:val="23"/>
              <w:bidi w:val="0"/>
              <w:jc w:val="center"/>
              <w:rPr>
                <w:rFonts w:hint="eastAsia"/>
              </w:rPr>
            </w:pPr>
            <w:r>
              <w:rPr>
                <w:rFonts w:hint="eastAsia"/>
                <w:lang w:val="en-US" w:eastAsia="zh-CN"/>
              </w:rPr>
              <w:t>1</w:t>
            </w:r>
          </w:p>
        </w:tc>
        <w:tc>
          <w:tcPr>
            <w:tcW w:w="436" w:type="pct"/>
            <w:tcBorders>
              <w:tl2br w:val="nil"/>
              <w:tr2bl w:val="nil"/>
            </w:tcBorders>
            <w:shd w:val="clear" w:color="auto" w:fill="auto"/>
            <w:noWrap/>
            <w:tcMar>
              <w:top w:w="15" w:type="dxa"/>
              <w:left w:w="15" w:type="dxa"/>
              <w:right w:w="15" w:type="dxa"/>
            </w:tcMar>
            <w:vAlign w:val="center"/>
          </w:tcPr>
          <w:p>
            <w:pPr>
              <w:pStyle w:val="23"/>
              <w:bidi w:val="0"/>
              <w:jc w:val="center"/>
              <w:rPr>
                <w:rFonts w:hint="eastAsia"/>
              </w:rPr>
            </w:pPr>
            <w:r>
              <w:rPr>
                <w:rFonts w:hint="eastAsia"/>
                <w:lang w:val="en-US" w:eastAsia="zh-CN"/>
              </w:rPr>
              <w:t>0</w:t>
            </w:r>
          </w:p>
        </w:tc>
        <w:tc>
          <w:tcPr>
            <w:tcW w:w="1280" w:type="pct"/>
            <w:tcBorders>
              <w:tl2br w:val="nil"/>
              <w:tr2bl w:val="nil"/>
            </w:tcBorders>
            <w:shd w:val="clear" w:color="auto" w:fill="auto"/>
            <w:noWrap/>
            <w:tcMar>
              <w:top w:w="15" w:type="dxa"/>
              <w:left w:w="15" w:type="dxa"/>
              <w:right w:w="15" w:type="dxa"/>
            </w:tcMar>
            <w:vAlign w:val="center"/>
          </w:tcPr>
          <w:p>
            <w:pPr>
              <w:pStyle w:val="23"/>
              <w:bidi w:val="0"/>
              <w:jc w:val="center"/>
              <w:rPr>
                <w:rFonts w:hint="eastAsia"/>
              </w:rPr>
            </w:pPr>
            <w:r>
              <w:rPr>
                <w:rFonts w:hint="eastAsia"/>
                <w:lang w:val="en-US" w:eastAsia="zh-CN"/>
              </w:rPr>
              <w:t>基本无变化</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777" w:type="pct"/>
            <w:vMerge w:val="continue"/>
            <w:tcBorders>
              <w:tl2br w:val="nil"/>
              <w:tr2bl w:val="nil"/>
            </w:tcBorders>
            <w:shd w:val="clear" w:color="auto" w:fill="auto"/>
            <w:noWrap/>
            <w:tcMar>
              <w:top w:w="15" w:type="dxa"/>
              <w:left w:w="15" w:type="dxa"/>
              <w:right w:w="15" w:type="dxa"/>
            </w:tcMar>
            <w:vAlign w:val="center"/>
          </w:tcPr>
          <w:p>
            <w:pPr>
              <w:pStyle w:val="23"/>
              <w:bidi w:val="0"/>
              <w:jc w:val="center"/>
              <w:rPr>
                <w:rFonts w:hint="eastAsia"/>
              </w:rPr>
            </w:pPr>
          </w:p>
        </w:tc>
        <w:tc>
          <w:tcPr>
            <w:tcW w:w="552" w:type="pct"/>
            <w:tcBorders>
              <w:tl2br w:val="nil"/>
              <w:tr2bl w:val="nil"/>
            </w:tcBorders>
            <w:shd w:val="clear" w:color="auto" w:fill="auto"/>
            <w:noWrap/>
            <w:tcMar>
              <w:top w:w="15" w:type="dxa"/>
              <w:left w:w="15" w:type="dxa"/>
              <w:right w:w="15" w:type="dxa"/>
            </w:tcMar>
            <w:vAlign w:val="center"/>
          </w:tcPr>
          <w:p>
            <w:pPr>
              <w:pStyle w:val="23"/>
              <w:bidi w:val="0"/>
              <w:jc w:val="center"/>
              <w:rPr>
                <w:rFonts w:hint="eastAsia"/>
              </w:rPr>
            </w:pPr>
            <w:r>
              <w:rPr>
                <w:rFonts w:hint="eastAsia"/>
                <w:lang w:val="en-US" w:eastAsia="zh-CN"/>
              </w:rPr>
              <w:t>表土回覆</w:t>
            </w:r>
          </w:p>
        </w:tc>
        <w:tc>
          <w:tcPr>
            <w:tcW w:w="420" w:type="pct"/>
            <w:tcBorders>
              <w:tl2br w:val="nil"/>
              <w:tr2bl w:val="nil"/>
            </w:tcBorders>
            <w:shd w:val="clear" w:color="auto" w:fill="auto"/>
            <w:noWrap/>
            <w:tcMar>
              <w:top w:w="15" w:type="dxa"/>
              <w:left w:w="15" w:type="dxa"/>
              <w:right w:w="15" w:type="dxa"/>
            </w:tcMar>
            <w:vAlign w:val="center"/>
          </w:tcPr>
          <w:p>
            <w:pPr>
              <w:pStyle w:val="23"/>
              <w:bidi w:val="0"/>
              <w:jc w:val="center"/>
              <w:rPr>
                <w:rFonts w:hint="eastAsia"/>
              </w:rPr>
            </w:pPr>
            <w:r>
              <w:rPr>
                <w:rFonts w:hint="eastAsia"/>
                <w:lang w:val="en-US" w:eastAsia="zh-CN"/>
              </w:rPr>
              <w:t>m</w:t>
            </w:r>
            <w:r>
              <w:rPr>
                <w:rFonts w:hint="eastAsia"/>
                <w:vertAlign w:val="superscript"/>
                <w:lang w:val="en-US" w:eastAsia="zh-CN"/>
              </w:rPr>
              <w:t>3</w:t>
            </w:r>
          </w:p>
        </w:tc>
        <w:tc>
          <w:tcPr>
            <w:tcW w:w="774" w:type="pct"/>
            <w:tcBorders>
              <w:tl2br w:val="nil"/>
              <w:tr2bl w:val="nil"/>
            </w:tcBorders>
            <w:shd w:val="clear" w:color="auto" w:fill="auto"/>
            <w:noWrap/>
            <w:tcMar>
              <w:top w:w="15" w:type="dxa"/>
              <w:left w:w="15" w:type="dxa"/>
              <w:right w:w="15" w:type="dxa"/>
            </w:tcMar>
            <w:vAlign w:val="center"/>
          </w:tcPr>
          <w:p>
            <w:pPr>
              <w:pStyle w:val="23"/>
              <w:bidi w:val="0"/>
              <w:jc w:val="center"/>
              <w:rPr>
                <w:rFonts w:hint="eastAsia"/>
              </w:rPr>
            </w:pPr>
            <w:r>
              <w:rPr>
                <w:rFonts w:hint="eastAsia"/>
                <w:lang w:val="en-US" w:eastAsia="zh-CN"/>
              </w:rPr>
              <w:t>300</w:t>
            </w:r>
          </w:p>
        </w:tc>
        <w:tc>
          <w:tcPr>
            <w:tcW w:w="758" w:type="pct"/>
            <w:tcBorders>
              <w:tl2br w:val="nil"/>
              <w:tr2bl w:val="nil"/>
            </w:tcBorders>
            <w:shd w:val="clear" w:color="auto" w:fill="auto"/>
            <w:noWrap/>
            <w:tcMar>
              <w:top w:w="15" w:type="dxa"/>
              <w:left w:w="15" w:type="dxa"/>
              <w:right w:w="15" w:type="dxa"/>
            </w:tcMar>
            <w:vAlign w:val="center"/>
          </w:tcPr>
          <w:p>
            <w:pPr>
              <w:pStyle w:val="23"/>
              <w:bidi w:val="0"/>
              <w:jc w:val="center"/>
              <w:rPr>
                <w:rFonts w:hint="eastAsia"/>
              </w:rPr>
            </w:pPr>
            <w:r>
              <w:rPr>
                <w:rFonts w:hint="eastAsia"/>
                <w:lang w:val="en-US" w:eastAsia="zh-CN"/>
              </w:rPr>
              <w:t>300</w:t>
            </w:r>
          </w:p>
        </w:tc>
        <w:tc>
          <w:tcPr>
            <w:tcW w:w="436" w:type="pct"/>
            <w:tcBorders>
              <w:tl2br w:val="nil"/>
              <w:tr2bl w:val="nil"/>
            </w:tcBorders>
            <w:shd w:val="clear" w:color="auto" w:fill="auto"/>
            <w:noWrap/>
            <w:tcMar>
              <w:top w:w="15" w:type="dxa"/>
              <w:left w:w="15" w:type="dxa"/>
              <w:right w:w="15" w:type="dxa"/>
            </w:tcMar>
            <w:vAlign w:val="center"/>
          </w:tcPr>
          <w:p>
            <w:pPr>
              <w:pStyle w:val="23"/>
              <w:bidi w:val="0"/>
              <w:jc w:val="center"/>
              <w:rPr>
                <w:rFonts w:hint="eastAsia"/>
              </w:rPr>
            </w:pPr>
            <w:r>
              <w:rPr>
                <w:rFonts w:hint="eastAsia"/>
                <w:lang w:val="en-US" w:eastAsia="zh-CN"/>
              </w:rPr>
              <w:t>0</w:t>
            </w:r>
          </w:p>
        </w:tc>
        <w:tc>
          <w:tcPr>
            <w:tcW w:w="1280" w:type="pct"/>
            <w:tcBorders>
              <w:tl2br w:val="nil"/>
              <w:tr2bl w:val="nil"/>
            </w:tcBorders>
            <w:shd w:val="clear" w:color="auto" w:fill="auto"/>
            <w:noWrap/>
            <w:tcMar>
              <w:top w:w="15" w:type="dxa"/>
              <w:left w:w="15" w:type="dxa"/>
              <w:right w:w="15" w:type="dxa"/>
            </w:tcMar>
            <w:vAlign w:val="center"/>
          </w:tcPr>
          <w:p>
            <w:pPr>
              <w:pStyle w:val="23"/>
              <w:bidi w:val="0"/>
              <w:jc w:val="center"/>
              <w:rPr>
                <w:rFonts w:hint="eastAsia"/>
              </w:rPr>
            </w:pPr>
            <w:r>
              <w:rPr>
                <w:rFonts w:hint="eastAsia"/>
                <w:lang w:val="en-US" w:eastAsia="zh-CN"/>
              </w:rPr>
              <w:t>基本无变化</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777" w:type="pct"/>
            <w:tcBorders>
              <w:tl2br w:val="nil"/>
              <w:tr2bl w:val="nil"/>
            </w:tcBorders>
            <w:shd w:val="clear" w:color="auto" w:fill="auto"/>
            <w:noWrap/>
            <w:tcMar>
              <w:top w:w="15" w:type="dxa"/>
              <w:left w:w="15" w:type="dxa"/>
              <w:right w:w="15" w:type="dxa"/>
            </w:tcMar>
            <w:vAlign w:val="center"/>
          </w:tcPr>
          <w:p>
            <w:pPr>
              <w:pStyle w:val="23"/>
              <w:bidi w:val="0"/>
              <w:jc w:val="center"/>
              <w:rPr>
                <w:rFonts w:hint="eastAsia"/>
              </w:rPr>
            </w:pPr>
            <w:r>
              <w:rPr>
                <w:rFonts w:hint="eastAsia"/>
                <w:lang w:val="en-US" w:eastAsia="zh-CN"/>
              </w:rPr>
              <w:t>绿化防治区</w:t>
            </w:r>
          </w:p>
        </w:tc>
        <w:tc>
          <w:tcPr>
            <w:tcW w:w="552" w:type="pct"/>
            <w:tcBorders>
              <w:tl2br w:val="nil"/>
              <w:tr2bl w:val="nil"/>
            </w:tcBorders>
            <w:shd w:val="clear" w:color="auto" w:fill="auto"/>
            <w:noWrap/>
            <w:tcMar>
              <w:top w:w="15" w:type="dxa"/>
              <w:left w:w="15" w:type="dxa"/>
              <w:right w:w="15" w:type="dxa"/>
            </w:tcMar>
            <w:vAlign w:val="center"/>
          </w:tcPr>
          <w:p>
            <w:pPr>
              <w:pStyle w:val="23"/>
              <w:bidi w:val="0"/>
              <w:jc w:val="center"/>
              <w:rPr>
                <w:rFonts w:hint="eastAsia"/>
              </w:rPr>
            </w:pPr>
            <w:r>
              <w:rPr>
                <w:rFonts w:hint="eastAsia"/>
                <w:lang w:val="en-US" w:eastAsia="zh-CN"/>
              </w:rPr>
              <w:t>表土回覆</w:t>
            </w:r>
          </w:p>
        </w:tc>
        <w:tc>
          <w:tcPr>
            <w:tcW w:w="420" w:type="pct"/>
            <w:tcBorders>
              <w:tl2br w:val="nil"/>
              <w:tr2bl w:val="nil"/>
            </w:tcBorders>
            <w:shd w:val="clear" w:color="auto" w:fill="auto"/>
            <w:noWrap/>
            <w:tcMar>
              <w:top w:w="15" w:type="dxa"/>
              <w:left w:w="15" w:type="dxa"/>
              <w:right w:w="15" w:type="dxa"/>
            </w:tcMar>
            <w:vAlign w:val="center"/>
          </w:tcPr>
          <w:p>
            <w:pPr>
              <w:pStyle w:val="23"/>
              <w:bidi w:val="0"/>
              <w:jc w:val="center"/>
              <w:rPr>
                <w:rFonts w:hint="eastAsia"/>
              </w:rPr>
            </w:pPr>
            <w:r>
              <w:rPr>
                <w:rFonts w:hint="eastAsia"/>
                <w:lang w:val="en-US" w:eastAsia="zh-CN"/>
              </w:rPr>
              <w:t>m</w:t>
            </w:r>
            <w:r>
              <w:rPr>
                <w:rFonts w:hint="eastAsia"/>
                <w:vertAlign w:val="superscript"/>
                <w:lang w:val="en-US" w:eastAsia="zh-CN"/>
              </w:rPr>
              <w:t>3</w:t>
            </w:r>
          </w:p>
        </w:tc>
        <w:tc>
          <w:tcPr>
            <w:tcW w:w="774" w:type="pct"/>
            <w:tcBorders>
              <w:tl2br w:val="nil"/>
              <w:tr2bl w:val="nil"/>
            </w:tcBorders>
            <w:shd w:val="clear" w:color="auto" w:fill="auto"/>
            <w:noWrap/>
            <w:tcMar>
              <w:top w:w="15" w:type="dxa"/>
              <w:left w:w="15" w:type="dxa"/>
              <w:right w:w="15" w:type="dxa"/>
            </w:tcMar>
            <w:vAlign w:val="center"/>
          </w:tcPr>
          <w:p>
            <w:pPr>
              <w:pStyle w:val="23"/>
              <w:bidi w:val="0"/>
              <w:jc w:val="center"/>
              <w:rPr>
                <w:rFonts w:hint="eastAsia"/>
              </w:rPr>
            </w:pPr>
            <w:r>
              <w:rPr>
                <w:rFonts w:hint="eastAsia"/>
                <w:lang w:val="en-US" w:eastAsia="zh-CN"/>
              </w:rPr>
              <w:t>600</w:t>
            </w:r>
          </w:p>
        </w:tc>
        <w:tc>
          <w:tcPr>
            <w:tcW w:w="758" w:type="pct"/>
            <w:tcBorders>
              <w:tl2br w:val="nil"/>
              <w:tr2bl w:val="nil"/>
            </w:tcBorders>
            <w:shd w:val="clear" w:color="auto" w:fill="auto"/>
            <w:noWrap/>
            <w:tcMar>
              <w:top w:w="15" w:type="dxa"/>
              <w:left w:w="15" w:type="dxa"/>
              <w:right w:w="15" w:type="dxa"/>
            </w:tcMar>
            <w:vAlign w:val="center"/>
          </w:tcPr>
          <w:p>
            <w:pPr>
              <w:pStyle w:val="23"/>
              <w:bidi w:val="0"/>
              <w:jc w:val="center"/>
              <w:rPr>
                <w:rFonts w:hint="eastAsia"/>
              </w:rPr>
            </w:pPr>
            <w:r>
              <w:rPr>
                <w:rFonts w:hint="eastAsia"/>
                <w:lang w:val="en-US" w:eastAsia="zh-CN"/>
              </w:rPr>
              <w:t>600</w:t>
            </w:r>
          </w:p>
        </w:tc>
        <w:tc>
          <w:tcPr>
            <w:tcW w:w="436" w:type="pct"/>
            <w:tcBorders>
              <w:tl2br w:val="nil"/>
              <w:tr2bl w:val="nil"/>
            </w:tcBorders>
            <w:shd w:val="clear" w:color="auto" w:fill="auto"/>
            <w:noWrap/>
            <w:tcMar>
              <w:top w:w="15" w:type="dxa"/>
              <w:left w:w="15" w:type="dxa"/>
              <w:right w:w="15" w:type="dxa"/>
            </w:tcMar>
            <w:vAlign w:val="center"/>
          </w:tcPr>
          <w:p>
            <w:pPr>
              <w:pStyle w:val="23"/>
              <w:bidi w:val="0"/>
              <w:jc w:val="center"/>
              <w:rPr>
                <w:rFonts w:hint="eastAsia"/>
              </w:rPr>
            </w:pPr>
            <w:r>
              <w:rPr>
                <w:rFonts w:hint="eastAsia"/>
                <w:lang w:val="en-US" w:eastAsia="zh-CN"/>
              </w:rPr>
              <w:t>0</w:t>
            </w:r>
          </w:p>
        </w:tc>
        <w:tc>
          <w:tcPr>
            <w:tcW w:w="1280" w:type="pct"/>
            <w:tcBorders>
              <w:tl2br w:val="nil"/>
              <w:tr2bl w:val="nil"/>
            </w:tcBorders>
            <w:shd w:val="clear" w:color="auto" w:fill="auto"/>
            <w:noWrap/>
            <w:tcMar>
              <w:top w:w="15" w:type="dxa"/>
              <w:left w:w="15" w:type="dxa"/>
              <w:right w:w="15" w:type="dxa"/>
            </w:tcMar>
            <w:vAlign w:val="center"/>
          </w:tcPr>
          <w:p>
            <w:pPr>
              <w:pStyle w:val="23"/>
              <w:bidi w:val="0"/>
              <w:jc w:val="center"/>
              <w:rPr>
                <w:rFonts w:hint="eastAsia"/>
              </w:rPr>
            </w:pPr>
            <w:r>
              <w:rPr>
                <w:rFonts w:hint="eastAsia"/>
                <w:lang w:val="en-US" w:eastAsia="zh-CN"/>
              </w:rPr>
              <w:t>基本无变化</w:t>
            </w:r>
          </w:p>
        </w:tc>
      </w:tr>
    </w:tbl>
    <w:p>
      <w:pPr>
        <w:pStyle w:val="3"/>
        <w:rPr>
          <w:rFonts w:ascii="Times New Roman" w:hAnsi="Times New Roman" w:cs="Times New Roman"/>
        </w:rPr>
      </w:pPr>
      <w:r>
        <w:rPr>
          <w:rFonts w:ascii="Times New Roman" w:hAnsi="Times New Roman" w:cs="Times New Roman"/>
        </w:rPr>
        <w:t>植物措施监测结果</w:t>
      </w:r>
      <w:bookmarkEnd w:id="58"/>
      <w:bookmarkEnd w:id="59"/>
      <w:bookmarkEnd w:id="60"/>
    </w:p>
    <w:p>
      <w:pPr>
        <w:pStyle w:val="4"/>
        <w:rPr>
          <w:rFonts w:cs="Times New Roman"/>
        </w:rPr>
      </w:pPr>
      <w:r>
        <w:rPr>
          <w:rFonts w:cs="Times New Roman"/>
        </w:rPr>
        <w:t>植物措施设计情况</w:t>
      </w:r>
    </w:p>
    <w:p>
      <w:pPr>
        <w:pStyle w:val="5"/>
      </w:pPr>
      <w:r>
        <w:rPr>
          <w:rFonts w:hint="eastAsia"/>
          <w:lang w:val="en-US" w:eastAsia="zh-CN"/>
        </w:rPr>
        <w:t>道路及硬化</w:t>
      </w:r>
      <w:r>
        <w:rPr>
          <w:rFonts w:hint="eastAsia"/>
          <w:lang w:eastAsia="zh-CN"/>
        </w:rPr>
        <w:t>区</w:t>
      </w:r>
    </w:p>
    <w:p>
      <w:pPr>
        <w:ind w:firstLine="480"/>
        <w:rPr>
          <w:rFonts w:cs="Times New Roman"/>
          <w:color w:val="000000"/>
        </w:rPr>
      </w:pPr>
      <w:r>
        <w:rPr>
          <w:rFonts w:hint="eastAsia" w:cs="Times New Roman"/>
          <w:color w:val="000000"/>
          <w:lang w:eastAsia="zh-CN"/>
        </w:rPr>
        <w:t xml:space="preserve"> 道路及硬化工程防治区</w:t>
      </w:r>
      <w:r>
        <w:rPr>
          <w:rFonts w:cs="Times New Roman"/>
          <w:color w:val="000000"/>
        </w:rPr>
        <w:t>的植物措施有</w:t>
      </w:r>
      <w:r>
        <w:rPr>
          <w:rFonts w:hint="eastAsia" w:cs="Times New Roman"/>
        </w:rPr>
        <w:t>植草</w:t>
      </w:r>
      <w:r>
        <w:rPr>
          <w:rFonts w:hint="eastAsia" w:cs="Times New Roman"/>
          <w:lang w:val="en-US" w:eastAsia="zh-CN"/>
        </w:rPr>
        <w:t>砖</w:t>
      </w:r>
      <w:r>
        <w:rPr>
          <w:rFonts w:hint="eastAsia" w:cs="Times New Roman"/>
          <w:color w:val="000000"/>
        </w:rPr>
        <w:t>。</w:t>
      </w:r>
    </w:p>
    <w:p>
      <w:pPr>
        <w:pStyle w:val="24"/>
        <w:rPr>
          <w:rFonts w:cs="Times New Roman"/>
        </w:rPr>
      </w:pPr>
    </w:p>
    <w:p>
      <w:pPr>
        <w:pStyle w:val="24"/>
        <w:rPr>
          <w:rFonts w:cs="Times New Roman"/>
        </w:rPr>
      </w:pPr>
    </w:p>
    <w:p>
      <w:pPr>
        <w:pStyle w:val="24"/>
        <w:rPr>
          <w:rFonts w:cs="Times New Roman"/>
        </w:rPr>
      </w:pPr>
      <w:r>
        <w:rPr>
          <w:rFonts w:cs="Times New Roman"/>
        </w:rPr>
        <w:t>表4.2-</w:t>
      </w:r>
      <w:r>
        <w:rPr>
          <w:rFonts w:hint="eastAsia" w:cs="Times New Roman"/>
        </w:rPr>
        <w:t>1</w:t>
      </w:r>
      <w:r>
        <w:rPr>
          <w:rFonts w:cs="Times New Roman"/>
        </w:rPr>
        <w:t xml:space="preserve">  </w:t>
      </w:r>
      <w:r>
        <w:rPr>
          <w:rFonts w:hint="eastAsia" w:cs="Times New Roman"/>
          <w:lang w:eastAsia="zh-CN"/>
        </w:rPr>
        <w:t>道路及硬化工程防治区</w:t>
      </w:r>
      <w:r>
        <w:rPr>
          <w:rFonts w:cs="Times New Roman"/>
        </w:rPr>
        <w:t>水土保持植物措施设计情况</w:t>
      </w:r>
    </w:p>
    <w:tbl>
      <w:tblPr>
        <w:tblStyle w:val="13"/>
        <w:tblW w:w="4997"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autofit"/>
        <w:tblCellMar>
          <w:top w:w="0" w:type="dxa"/>
          <w:left w:w="0" w:type="dxa"/>
          <w:bottom w:w="0" w:type="dxa"/>
          <w:right w:w="0" w:type="dxa"/>
        </w:tblCellMar>
      </w:tblPr>
      <w:tblGrid>
        <w:gridCol w:w="2763"/>
        <w:gridCol w:w="1820"/>
        <w:gridCol w:w="2313"/>
        <w:gridCol w:w="1099"/>
        <w:gridCol w:w="1100"/>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1518" w:type="pct"/>
            <w:tcBorders>
              <w:tl2br w:val="nil"/>
              <w:tr2bl w:val="nil"/>
            </w:tcBorders>
            <w:shd w:val="clear" w:color="auto" w:fill="auto"/>
            <w:noWrap/>
            <w:tcMar>
              <w:top w:w="15" w:type="dxa"/>
              <w:left w:w="15" w:type="dxa"/>
              <w:right w:w="15" w:type="dxa"/>
            </w:tcMar>
            <w:vAlign w:val="center"/>
          </w:tcPr>
          <w:p>
            <w:pPr>
              <w:pStyle w:val="23"/>
              <w:bidi w:val="0"/>
            </w:pPr>
            <w:r>
              <w:rPr>
                <w:rFonts w:hint="eastAsia"/>
                <w:lang w:val="en-US" w:eastAsia="zh-CN"/>
              </w:rPr>
              <w:t>防治分区</w:t>
            </w:r>
          </w:p>
        </w:tc>
        <w:tc>
          <w:tcPr>
            <w:tcW w:w="1000"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措施类型</w:t>
            </w:r>
          </w:p>
        </w:tc>
        <w:tc>
          <w:tcPr>
            <w:tcW w:w="1271"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措施名称</w:t>
            </w:r>
          </w:p>
        </w:tc>
        <w:tc>
          <w:tcPr>
            <w:tcW w:w="604"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单位</w:t>
            </w:r>
          </w:p>
        </w:tc>
        <w:tc>
          <w:tcPr>
            <w:tcW w:w="604"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数量</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1518"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rPr>
              <w:t xml:space="preserve"> 道路及硬化工程防治区</w:t>
            </w:r>
          </w:p>
        </w:tc>
        <w:tc>
          <w:tcPr>
            <w:tcW w:w="1000"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植物措施</w:t>
            </w:r>
          </w:p>
        </w:tc>
        <w:tc>
          <w:tcPr>
            <w:tcW w:w="1271"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植草砖</w:t>
            </w:r>
          </w:p>
        </w:tc>
        <w:tc>
          <w:tcPr>
            <w:tcW w:w="604"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m</w:t>
            </w:r>
            <w:r>
              <w:rPr>
                <w:rFonts w:hint="eastAsia"/>
                <w:vertAlign w:val="superscript"/>
                <w:lang w:val="en-US" w:eastAsia="zh-CN"/>
              </w:rPr>
              <w:t>2</w:t>
            </w:r>
          </w:p>
        </w:tc>
        <w:tc>
          <w:tcPr>
            <w:tcW w:w="604"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1100</w:t>
            </w:r>
          </w:p>
        </w:tc>
      </w:tr>
    </w:tbl>
    <w:p>
      <w:pPr>
        <w:pStyle w:val="5"/>
      </w:pPr>
      <w:r>
        <w:rPr>
          <w:rFonts w:hint="eastAsia"/>
          <w:lang w:eastAsia="zh-CN"/>
        </w:rPr>
        <w:t>绿化防治区</w:t>
      </w:r>
    </w:p>
    <w:p>
      <w:pPr>
        <w:ind w:firstLine="480"/>
        <w:rPr>
          <w:rFonts w:cs="Times New Roman"/>
          <w:color w:val="000000"/>
        </w:rPr>
      </w:pPr>
      <w:r>
        <w:rPr>
          <w:rFonts w:hint="eastAsia" w:cs="Times New Roman"/>
          <w:color w:val="000000"/>
          <w:lang w:eastAsia="zh-CN"/>
        </w:rPr>
        <w:t>绿化防治区</w:t>
      </w:r>
      <w:r>
        <w:rPr>
          <w:rFonts w:cs="Times New Roman"/>
          <w:color w:val="000000"/>
        </w:rPr>
        <w:t>的植物措施有</w:t>
      </w:r>
      <w:r>
        <w:rPr>
          <w:rFonts w:hint="eastAsia" w:cs="Times New Roman"/>
        </w:rPr>
        <w:t>栽植乔木、栽植灌木、直播种草</w:t>
      </w:r>
      <w:r>
        <w:rPr>
          <w:rFonts w:hint="eastAsia" w:cs="Times New Roman"/>
          <w:color w:val="000000"/>
        </w:rPr>
        <w:t>。</w:t>
      </w:r>
    </w:p>
    <w:p>
      <w:pPr>
        <w:pStyle w:val="24"/>
        <w:rPr>
          <w:rFonts w:cs="Times New Roman"/>
        </w:rPr>
      </w:pPr>
      <w:r>
        <w:rPr>
          <w:rFonts w:cs="Times New Roman"/>
        </w:rPr>
        <w:t>表4.2-</w:t>
      </w:r>
      <w:r>
        <w:rPr>
          <w:rFonts w:hint="eastAsia" w:cs="Times New Roman"/>
        </w:rPr>
        <w:t>2</w:t>
      </w:r>
      <w:r>
        <w:rPr>
          <w:rFonts w:cs="Times New Roman"/>
        </w:rPr>
        <w:t xml:space="preserve">  </w:t>
      </w:r>
      <w:r>
        <w:rPr>
          <w:rFonts w:hint="eastAsia" w:cs="Times New Roman"/>
          <w:lang w:eastAsia="zh-CN"/>
        </w:rPr>
        <w:t>绿化防治区</w:t>
      </w:r>
      <w:r>
        <w:rPr>
          <w:rFonts w:cs="Times New Roman"/>
        </w:rPr>
        <w:t>水土保持植物措施设计情况</w:t>
      </w:r>
    </w:p>
    <w:tbl>
      <w:tblPr>
        <w:tblStyle w:val="13"/>
        <w:tblW w:w="4997"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autofit"/>
        <w:tblCellMar>
          <w:top w:w="0" w:type="dxa"/>
          <w:left w:w="0" w:type="dxa"/>
          <w:bottom w:w="0" w:type="dxa"/>
          <w:right w:w="0" w:type="dxa"/>
        </w:tblCellMar>
      </w:tblPr>
      <w:tblGrid>
        <w:gridCol w:w="2109"/>
        <w:gridCol w:w="2338"/>
        <w:gridCol w:w="1820"/>
        <w:gridCol w:w="1414"/>
        <w:gridCol w:w="1414"/>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5" w:hRule="atLeast"/>
        </w:trPr>
        <w:tc>
          <w:tcPr>
            <w:tcW w:w="1159" w:type="pct"/>
            <w:tcBorders>
              <w:tl2br w:val="nil"/>
              <w:tr2bl w:val="nil"/>
            </w:tcBorders>
            <w:shd w:val="clear" w:color="auto" w:fill="auto"/>
            <w:noWrap/>
            <w:tcMar>
              <w:top w:w="15" w:type="dxa"/>
              <w:left w:w="15" w:type="dxa"/>
              <w:right w:w="15" w:type="dxa"/>
            </w:tcMar>
            <w:vAlign w:val="center"/>
          </w:tcPr>
          <w:p>
            <w:pPr>
              <w:pStyle w:val="23"/>
              <w:bidi w:val="0"/>
            </w:pPr>
            <w:r>
              <w:rPr>
                <w:rFonts w:hint="eastAsia"/>
                <w:lang w:val="en-US" w:eastAsia="zh-CN"/>
              </w:rPr>
              <w:t>防治分区</w:t>
            </w:r>
          </w:p>
        </w:tc>
        <w:tc>
          <w:tcPr>
            <w:tcW w:w="1285"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措施类型</w:t>
            </w:r>
          </w:p>
        </w:tc>
        <w:tc>
          <w:tcPr>
            <w:tcW w:w="1000"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措施名称</w:t>
            </w:r>
          </w:p>
        </w:tc>
        <w:tc>
          <w:tcPr>
            <w:tcW w:w="777"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单位</w:t>
            </w:r>
          </w:p>
        </w:tc>
        <w:tc>
          <w:tcPr>
            <w:tcW w:w="777"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数量</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1159" w:type="pct"/>
            <w:vMerge w:val="restar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绿化防治区</w:t>
            </w:r>
          </w:p>
        </w:tc>
        <w:tc>
          <w:tcPr>
            <w:tcW w:w="1285" w:type="pct"/>
            <w:vMerge w:val="restar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植物措施</w:t>
            </w:r>
          </w:p>
        </w:tc>
        <w:tc>
          <w:tcPr>
            <w:tcW w:w="1000"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栽植乔木</w:t>
            </w:r>
          </w:p>
        </w:tc>
        <w:tc>
          <w:tcPr>
            <w:tcW w:w="777"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株</w:t>
            </w:r>
          </w:p>
        </w:tc>
        <w:tc>
          <w:tcPr>
            <w:tcW w:w="777"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200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1159" w:type="pct"/>
            <w:vMerge w:val="continue"/>
            <w:tcBorders>
              <w:tl2br w:val="nil"/>
              <w:tr2bl w:val="nil"/>
            </w:tcBorders>
            <w:shd w:val="clear" w:color="auto" w:fill="auto"/>
            <w:noWrap/>
            <w:tcMar>
              <w:top w:w="15" w:type="dxa"/>
              <w:left w:w="15" w:type="dxa"/>
              <w:right w:w="15" w:type="dxa"/>
            </w:tcMar>
            <w:vAlign w:val="center"/>
          </w:tcPr>
          <w:p>
            <w:pPr>
              <w:pStyle w:val="23"/>
              <w:bidi w:val="0"/>
              <w:rPr>
                <w:rFonts w:hint="eastAsia"/>
              </w:rPr>
            </w:pPr>
          </w:p>
        </w:tc>
        <w:tc>
          <w:tcPr>
            <w:tcW w:w="1285" w:type="pct"/>
            <w:vMerge w:val="continue"/>
            <w:tcBorders>
              <w:tl2br w:val="nil"/>
              <w:tr2bl w:val="nil"/>
            </w:tcBorders>
            <w:shd w:val="clear" w:color="auto" w:fill="auto"/>
            <w:noWrap/>
            <w:tcMar>
              <w:top w:w="15" w:type="dxa"/>
              <w:left w:w="15" w:type="dxa"/>
              <w:right w:w="15" w:type="dxa"/>
            </w:tcMar>
            <w:vAlign w:val="center"/>
          </w:tcPr>
          <w:p>
            <w:pPr>
              <w:pStyle w:val="23"/>
              <w:bidi w:val="0"/>
              <w:rPr>
                <w:rFonts w:hint="eastAsia"/>
              </w:rPr>
            </w:pPr>
          </w:p>
        </w:tc>
        <w:tc>
          <w:tcPr>
            <w:tcW w:w="1000"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栽植灌木</w:t>
            </w:r>
          </w:p>
        </w:tc>
        <w:tc>
          <w:tcPr>
            <w:tcW w:w="777"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株</w:t>
            </w:r>
          </w:p>
        </w:tc>
        <w:tc>
          <w:tcPr>
            <w:tcW w:w="777"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1000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1159" w:type="pct"/>
            <w:vMerge w:val="continue"/>
            <w:tcBorders>
              <w:tl2br w:val="nil"/>
              <w:tr2bl w:val="nil"/>
            </w:tcBorders>
            <w:shd w:val="clear" w:color="auto" w:fill="auto"/>
            <w:noWrap/>
            <w:tcMar>
              <w:top w:w="15" w:type="dxa"/>
              <w:left w:w="15" w:type="dxa"/>
              <w:right w:w="15" w:type="dxa"/>
            </w:tcMar>
            <w:vAlign w:val="center"/>
          </w:tcPr>
          <w:p>
            <w:pPr>
              <w:pStyle w:val="23"/>
              <w:bidi w:val="0"/>
              <w:rPr>
                <w:rFonts w:hint="eastAsia"/>
              </w:rPr>
            </w:pPr>
          </w:p>
        </w:tc>
        <w:tc>
          <w:tcPr>
            <w:tcW w:w="1285" w:type="pct"/>
            <w:vMerge w:val="continue"/>
            <w:tcBorders>
              <w:tl2br w:val="nil"/>
              <w:tr2bl w:val="nil"/>
            </w:tcBorders>
            <w:shd w:val="clear" w:color="auto" w:fill="auto"/>
            <w:noWrap/>
            <w:tcMar>
              <w:top w:w="15" w:type="dxa"/>
              <w:left w:w="15" w:type="dxa"/>
              <w:right w:w="15" w:type="dxa"/>
            </w:tcMar>
            <w:vAlign w:val="center"/>
          </w:tcPr>
          <w:p>
            <w:pPr>
              <w:pStyle w:val="23"/>
              <w:bidi w:val="0"/>
              <w:rPr>
                <w:rFonts w:hint="eastAsia"/>
              </w:rPr>
            </w:pPr>
          </w:p>
        </w:tc>
        <w:tc>
          <w:tcPr>
            <w:tcW w:w="1000"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直播种草</w:t>
            </w:r>
          </w:p>
        </w:tc>
        <w:tc>
          <w:tcPr>
            <w:tcW w:w="777"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hm</w:t>
            </w:r>
            <w:r>
              <w:rPr>
                <w:rFonts w:hint="eastAsia"/>
                <w:vertAlign w:val="superscript"/>
                <w:lang w:val="en-US" w:eastAsia="zh-CN"/>
              </w:rPr>
              <w:t>2</w:t>
            </w:r>
          </w:p>
        </w:tc>
        <w:tc>
          <w:tcPr>
            <w:tcW w:w="777"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0.1</w:t>
            </w:r>
          </w:p>
        </w:tc>
      </w:tr>
    </w:tbl>
    <w:p>
      <w:pPr>
        <w:pStyle w:val="4"/>
        <w:rPr>
          <w:rFonts w:cs="Times New Roman"/>
        </w:rPr>
      </w:pPr>
      <w:r>
        <w:rPr>
          <w:rFonts w:cs="Times New Roman"/>
        </w:rPr>
        <w:t>植物措施监测实施情况</w:t>
      </w:r>
    </w:p>
    <w:p>
      <w:pPr>
        <w:ind w:firstLine="480"/>
        <w:rPr>
          <w:rFonts w:cs="Times New Roman"/>
        </w:rPr>
      </w:pPr>
      <w:r>
        <w:rPr>
          <w:rFonts w:cs="Times New Roman"/>
        </w:rPr>
        <w:t>项目于</w:t>
      </w:r>
      <w:r>
        <w:rPr>
          <w:rFonts w:hint="eastAsia" w:cs="Times New Roman"/>
          <w:lang w:eastAsia="zh-CN"/>
        </w:rPr>
        <w:t>2016年9月</w:t>
      </w:r>
      <w:r>
        <w:rPr>
          <w:rFonts w:cs="Times New Roman"/>
        </w:rPr>
        <w:t>开工，</w:t>
      </w:r>
      <w:r>
        <w:rPr>
          <w:rFonts w:hint="eastAsia" w:cs="Times New Roman"/>
        </w:rPr>
        <w:t>于</w:t>
      </w:r>
      <w:r>
        <w:rPr>
          <w:rFonts w:hint="eastAsia" w:cs="Times New Roman"/>
          <w:lang w:eastAsia="zh-CN"/>
        </w:rPr>
        <w:t>2017年9月</w:t>
      </w:r>
      <w:r>
        <w:rPr>
          <w:rFonts w:hint="eastAsia" w:cs="Times New Roman"/>
        </w:rPr>
        <w:t>全部完工。</w:t>
      </w:r>
      <w:r>
        <w:rPr>
          <w:rFonts w:cs="Times New Roman"/>
        </w:rPr>
        <w:t>经查阅及核实现场施工记录、资料、现场状况等，水土保持</w:t>
      </w:r>
      <w:r>
        <w:rPr>
          <w:rFonts w:hint="eastAsia" w:cs="Times New Roman"/>
        </w:rPr>
        <w:t>植物</w:t>
      </w:r>
      <w:r>
        <w:rPr>
          <w:rFonts w:cs="Times New Roman"/>
        </w:rPr>
        <w:t>措施于工程施工期间完成，总体进度满足主体工程和水土保持要求。</w:t>
      </w:r>
    </w:p>
    <w:p>
      <w:pPr>
        <w:pStyle w:val="4"/>
        <w:rPr>
          <w:rFonts w:cs="Times New Roman"/>
        </w:rPr>
      </w:pPr>
      <w:r>
        <w:rPr>
          <w:rFonts w:cs="Times New Roman"/>
        </w:rPr>
        <w:t>植物措施监测结果</w:t>
      </w:r>
    </w:p>
    <w:p>
      <w:pPr>
        <w:ind w:firstLine="480"/>
        <w:rPr>
          <w:rFonts w:cs="Times New Roman"/>
        </w:rPr>
      </w:pPr>
      <w:r>
        <w:rPr>
          <w:rFonts w:cs="Times New Roman"/>
        </w:rPr>
        <w:t>通过查阅施工过程、主体监理相关资料施工过程中采取了一系列的水土保持措施，水土保持效果良好，无水土流失危害，工程量统计通过实际调查获得，批复方案设计工程量与实际基本一致，本次验收植物措施工程量与批复水保方案一致。</w:t>
      </w:r>
    </w:p>
    <w:p>
      <w:pPr>
        <w:ind w:firstLine="480"/>
        <w:rPr>
          <w:rFonts w:cs="Times New Roman"/>
        </w:rPr>
      </w:pPr>
      <w:r>
        <w:rPr>
          <w:rFonts w:cs="Times New Roman"/>
        </w:rPr>
        <w:t>实际完成和批复方案的水土保持植物措施量对比详见下表。</w:t>
      </w:r>
    </w:p>
    <w:p>
      <w:pPr>
        <w:pStyle w:val="24"/>
        <w:rPr>
          <w:rFonts w:cs="Times New Roman"/>
          <w:snapToGrid w:val="0"/>
        </w:rPr>
      </w:pPr>
      <w:r>
        <w:rPr>
          <w:rFonts w:cs="Times New Roman"/>
          <w:snapToGrid w:val="0"/>
        </w:rPr>
        <w:t>表4.2-</w:t>
      </w:r>
      <w:r>
        <w:rPr>
          <w:rFonts w:hint="eastAsia" w:cs="Times New Roman"/>
          <w:snapToGrid w:val="0"/>
        </w:rPr>
        <w:t>3</w:t>
      </w:r>
      <w:r>
        <w:rPr>
          <w:rFonts w:cs="Times New Roman"/>
          <w:snapToGrid w:val="0"/>
        </w:rPr>
        <w:t xml:space="preserve">   项目水土保持植物措施变化情况</w:t>
      </w:r>
    </w:p>
    <w:tbl>
      <w:tblPr>
        <w:tblStyle w:val="13"/>
        <w:tblW w:w="5000"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fixed"/>
        <w:tblCellMar>
          <w:top w:w="0" w:type="dxa"/>
          <w:left w:w="0" w:type="dxa"/>
          <w:bottom w:w="0" w:type="dxa"/>
          <w:right w:w="0" w:type="dxa"/>
        </w:tblCellMar>
      </w:tblPr>
      <w:tblGrid>
        <w:gridCol w:w="1926"/>
        <w:gridCol w:w="810"/>
        <w:gridCol w:w="480"/>
        <w:gridCol w:w="1620"/>
        <w:gridCol w:w="1365"/>
        <w:gridCol w:w="960"/>
        <w:gridCol w:w="1941"/>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50" w:hRule="atLeast"/>
        </w:trPr>
        <w:tc>
          <w:tcPr>
            <w:tcW w:w="1058" w:type="pct"/>
            <w:tcBorders>
              <w:tl2br w:val="nil"/>
              <w:tr2bl w:val="nil"/>
            </w:tcBorders>
            <w:shd w:val="clear" w:color="auto" w:fill="auto"/>
            <w:tcMar>
              <w:top w:w="15" w:type="dxa"/>
              <w:left w:w="15" w:type="dxa"/>
              <w:right w:w="15" w:type="dxa"/>
            </w:tcMar>
            <w:vAlign w:val="center"/>
          </w:tcPr>
          <w:p>
            <w:pPr>
              <w:pStyle w:val="23"/>
              <w:bidi w:val="0"/>
            </w:pPr>
            <w:bookmarkStart w:id="61" w:name="_Toc5825913"/>
            <w:bookmarkStart w:id="62" w:name="_Toc18577"/>
            <w:bookmarkStart w:id="63" w:name="_Toc2534370"/>
            <w:r>
              <w:rPr>
                <w:rFonts w:hint="eastAsia"/>
                <w:lang w:val="en-US" w:eastAsia="zh-CN"/>
              </w:rPr>
              <w:t>防治分区</w:t>
            </w:r>
          </w:p>
        </w:tc>
        <w:tc>
          <w:tcPr>
            <w:tcW w:w="444" w:type="pct"/>
            <w:tcBorders>
              <w:tl2br w:val="nil"/>
              <w:tr2bl w:val="nil"/>
            </w:tcBorders>
            <w:shd w:val="clear" w:color="auto" w:fill="auto"/>
            <w:tcMar>
              <w:top w:w="15" w:type="dxa"/>
              <w:left w:w="15" w:type="dxa"/>
              <w:right w:w="15" w:type="dxa"/>
            </w:tcMar>
            <w:vAlign w:val="center"/>
          </w:tcPr>
          <w:p>
            <w:pPr>
              <w:pStyle w:val="23"/>
              <w:bidi w:val="0"/>
              <w:rPr>
                <w:rFonts w:hint="eastAsia"/>
              </w:rPr>
            </w:pPr>
            <w:r>
              <w:rPr>
                <w:rFonts w:hint="eastAsia"/>
                <w:lang w:val="en-US" w:eastAsia="zh-CN"/>
              </w:rPr>
              <w:t>具体措施</w:t>
            </w:r>
          </w:p>
        </w:tc>
        <w:tc>
          <w:tcPr>
            <w:tcW w:w="263" w:type="pct"/>
            <w:tcBorders>
              <w:tl2br w:val="nil"/>
              <w:tr2bl w:val="nil"/>
            </w:tcBorders>
            <w:shd w:val="clear" w:color="auto" w:fill="auto"/>
            <w:tcMar>
              <w:top w:w="15" w:type="dxa"/>
              <w:left w:w="15" w:type="dxa"/>
              <w:right w:w="15" w:type="dxa"/>
            </w:tcMar>
            <w:vAlign w:val="center"/>
          </w:tcPr>
          <w:p>
            <w:pPr>
              <w:pStyle w:val="23"/>
              <w:bidi w:val="0"/>
              <w:rPr>
                <w:rFonts w:hint="eastAsia"/>
              </w:rPr>
            </w:pPr>
            <w:r>
              <w:rPr>
                <w:rFonts w:hint="eastAsia"/>
                <w:lang w:val="en-US" w:eastAsia="zh-CN"/>
              </w:rPr>
              <w:t>单位</w:t>
            </w:r>
          </w:p>
        </w:tc>
        <w:tc>
          <w:tcPr>
            <w:tcW w:w="889" w:type="pct"/>
            <w:tcBorders>
              <w:tl2br w:val="nil"/>
              <w:tr2bl w:val="nil"/>
            </w:tcBorders>
            <w:shd w:val="clear" w:color="auto" w:fill="auto"/>
            <w:tcMar>
              <w:top w:w="15" w:type="dxa"/>
              <w:left w:w="15" w:type="dxa"/>
              <w:right w:w="15" w:type="dxa"/>
            </w:tcMar>
            <w:vAlign w:val="center"/>
          </w:tcPr>
          <w:p>
            <w:pPr>
              <w:pStyle w:val="23"/>
              <w:bidi w:val="0"/>
              <w:rPr>
                <w:rFonts w:hint="eastAsia"/>
              </w:rPr>
            </w:pPr>
            <w:r>
              <w:rPr>
                <w:rFonts w:hint="eastAsia"/>
                <w:lang w:val="en-US" w:eastAsia="zh-CN"/>
              </w:rPr>
              <w:t>方案设计工程量</w:t>
            </w:r>
          </w:p>
        </w:tc>
        <w:tc>
          <w:tcPr>
            <w:tcW w:w="749" w:type="pct"/>
            <w:tcBorders>
              <w:tl2br w:val="nil"/>
              <w:tr2bl w:val="nil"/>
            </w:tcBorders>
            <w:shd w:val="clear" w:color="auto" w:fill="auto"/>
            <w:tcMar>
              <w:top w:w="15" w:type="dxa"/>
              <w:left w:w="15" w:type="dxa"/>
              <w:right w:w="15" w:type="dxa"/>
            </w:tcMar>
            <w:vAlign w:val="center"/>
          </w:tcPr>
          <w:p>
            <w:pPr>
              <w:pStyle w:val="23"/>
              <w:bidi w:val="0"/>
              <w:rPr>
                <w:rFonts w:hint="eastAsia"/>
              </w:rPr>
            </w:pPr>
            <w:r>
              <w:rPr>
                <w:rFonts w:hint="eastAsia"/>
                <w:lang w:val="en-US" w:eastAsia="zh-CN"/>
              </w:rPr>
              <w:t>实际完成工程量</w:t>
            </w:r>
          </w:p>
        </w:tc>
        <w:tc>
          <w:tcPr>
            <w:tcW w:w="527" w:type="pct"/>
            <w:tcBorders>
              <w:tl2br w:val="nil"/>
              <w:tr2bl w:val="nil"/>
            </w:tcBorders>
            <w:shd w:val="clear" w:color="auto" w:fill="auto"/>
            <w:tcMar>
              <w:top w:w="15" w:type="dxa"/>
              <w:left w:w="15" w:type="dxa"/>
              <w:right w:w="15" w:type="dxa"/>
            </w:tcMar>
            <w:vAlign w:val="center"/>
          </w:tcPr>
          <w:p>
            <w:pPr>
              <w:pStyle w:val="23"/>
              <w:bidi w:val="0"/>
              <w:rPr>
                <w:rFonts w:hint="eastAsia"/>
              </w:rPr>
            </w:pPr>
            <w:r>
              <w:rPr>
                <w:rFonts w:hint="eastAsia"/>
                <w:lang w:val="en-US" w:eastAsia="zh-CN"/>
              </w:rPr>
              <w:t>变化情况</w:t>
            </w:r>
          </w:p>
        </w:tc>
        <w:tc>
          <w:tcPr>
            <w:tcW w:w="1066" w:type="pct"/>
            <w:tcBorders>
              <w:tl2br w:val="nil"/>
              <w:tr2bl w:val="nil"/>
            </w:tcBorders>
            <w:shd w:val="clear" w:color="auto" w:fill="auto"/>
            <w:tcMar>
              <w:top w:w="15" w:type="dxa"/>
              <w:left w:w="15" w:type="dxa"/>
              <w:right w:w="15" w:type="dxa"/>
            </w:tcMar>
            <w:vAlign w:val="center"/>
          </w:tcPr>
          <w:p>
            <w:pPr>
              <w:pStyle w:val="23"/>
              <w:bidi w:val="0"/>
              <w:rPr>
                <w:rFonts w:hint="eastAsia"/>
              </w:rPr>
            </w:pPr>
            <w:r>
              <w:rPr>
                <w:rFonts w:hint="eastAsia"/>
                <w:lang w:val="en-US" w:eastAsia="zh-CN"/>
              </w:rPr>
              <w:t>变化原因</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1058" w:type="pct"/>
            <w:tcBorders>
              <w:tl2br w:val="nil"/>
              <w:tr2bl w:val="nil"/>
            </w:tcBorders>
            <w:shd w:val="clear" w:color="auto" w:fill="auto"/>
            <w:noWrap/>
            <w:tcMar>
              <w:top w:w="15" w:type="dxa"/>
              <w:left w:w="15" w:type="dxa"/>
              <w:right w:w="15" w:type="dxa"/>
            </w:tcMar>
            <w:vAlign w:val="center"/>
          </w:tcPr>
          <w:p>
            <w:pPr>
              <w:pStyle w:val="23"/>
              <w:bidi w:val="0"/>
            </w:pPr>
            <w:r>
              <w:rPr>
                <w:rFonts w:hint="eastAsia"/>
                <w:lang w:val="en-US" w:eastAsia="zh-CN"/>
              </w:rPr>
              <w:t>道路及硬化工程防治区</w:t>
            </w:r>
          </w:p>
        </w:tc>
        <w:tc>
          <w:tcPr>
            <w:tcW w:w="444"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植草砖</w:t>
            </w:r>
          </w:p>
        </w:tc>
        <w:tc>
          <w:tcPr>
            <w:tcW w:w="263"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m</w:t>
            </w:r>
            <w:r>
              <w:rPr>
                <w:rFonts w:hint="eastAsia"/>
                <w:vertAlign w:val="superscript"/>
                <w:lang w:val="en-US" w:eastAsia="zh-CN"/>
              </w:rPr>
              <w:t>2</w:t>
            </w:r>
          </w:p>
        </w:tc>
        <w:tc>
          <w:tcPr>
            <w:tcW w:w="889"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1100</w:t>
            </w:r>
          </w:p>
        </w:tc>
        <w:tc>
          <w:tcPr>
            <w:tcW w:w="749"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1100</w:t>
            </w:r>
          </w:p>
        </w:tc>
        <w:tc>
          <w:tcPr>
            <w:tcW w:w="527"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0</w:t>
            </w:r>
          </w:p>
        </w:tc>
        <w:tc>
          <w:tcPr>
            <w:tcW w:w="1066"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基本无变化</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1058" w:type="pct"/>
            <w:vMerge w:val="restar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绿化防治区</w:t>
            </w:r>
          </w:p>
        </w:tc>
        <w:tc>
          <w:tcPr>
            <w:tcW w:w="444"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栽植乔木</w:t>
            </w:r>
          </w:p>
        </w:tc>
        <w:tc>
          <w:tcPr>
            <w:tcW w:w="263"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株</w:t>
            </w:r>
          </w:p>
        </w:tc>
        <w:tc>
          <w:tcPr>
            <w:tcW w:w="889"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200</w:t>
            </w:r>
          </w:p>
        </w:tc>
        <w:tc>
          <w:tcPr>
            <w:tcW w:w="749"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216</w:t>
            </w:r>
          </w:p>
        </w:tc>
        <w:tc>
          <w:tcPr>
            <w:tcW w:w="527"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16</w:t>
            </w:r>
          </w:p>
        </w:tc>
        <w:tc>
          <w:tcPr>
            <w:tcW w:w="1066"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根据实际情况进行调整</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1058" w:type="pct"/>
            <w:vMerge w:val="continue"/>
            <w:tcBorders>
              <w:tl2br w:val="nil"/>
              <w:tr2bl w:val="nil"/>
            </w:tcBorders>
            <w:shd w:val="clear" w:color="auto" w:fill="auto"/>
            <w:noWrap/>
            <w:tcMar>
              <w:top w:w="15" w:type="dxa"/>
              <w:left w:w="15" w:type="dxa"/>
              <w:right w:w="15" w:type="dxa"/>
            </w:tcMar>
            <w:vAlign w:val="center"/>
          </w:tcPr>
          <w:p>
            <w:pPr>
              <w:pStyle w:val="23"/>
              <w:bidi w:val="0"/>
              <w:rPr>
                <w:rFonts w:hint="eastAsia"/>
              </w:rPr>
            </w:pPr>
          </w:p>
        </w:tc>
        <w:tc>
          <w:tcPr>
            <w:tcW w:w="444"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栽植灌木</w:t>
            </w:r>
          </w:p>
        </w:tc>
        <w:tc>
          <w:tcPr>
            <w:tcW w:w="263"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株</w:t>
            </w:r>
          </w:p>
        </w:tc>
        <w:tc>
          <w:tcPr>
            <w:tcW w:w="889"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1000</w:t>
            </w:r>
          </w:p>
        </w:tc>
        <w:tc>
          <w:tcPr>
            <w:tcW w:w="749"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980</w:t>
            </w:r>
          </w:p>
        </w:tc>
        <w:tc>
          <w:tcPr>
            <w:tcW w:w="527"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-20</w:t>
            </w:r>
          </w:p>
        </w:tc>
        <w:tc>
          <w:tcPr>
            <w:tcW w:w="1066" w:type="pct"/>
            <w:tcBorders>
              <w:tl2br w:val="nil"/>
              <w:tr2bl w:val="nil"/>
            </w:tcBorders>
            <w:shd w:val="clear" w:color="auto" w:fill="auto"/>
            <w:noWrap/>
            <w:tcMar>
              <w:top w:w="15" w:type="dxa"/>
              <w:left w:w="15" w:type="dxa"/>
              <w:right w:w="15" w:type="dxa"/>
            </w:tcMar>
            <w:vAlign w:val="bottom"/>
          </w:tcPr>
          <w:p>
            <w:pPr>
              <w:pStyle w:val="23"/>
              <w:bidi w:val="0"/>
              <w:rPr>
                <w:rFonts w:hint="eastAsia"/>
              </w:rPr>
            </w:pPr>
            <w:r>
              <w:rPr>
                <w:rFonts w:hint="eastAsia"/>
                <w:lang w:val="en-US" w:eastAsia="zh-CN"/>
              </w:rPr>
              <w:t>根据实际情况进行调整</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1058" w:type="pct"/>
            <w:vMerge w:val="continue"/>
            <w:tcBorders>
              <w:tl2br w:val="nil"/>
              <w:tr2bl w:val="nil"/>
            </w:tcBorders>
            <w:shd w:val="clear" w:color="auto" w:fill="auto"/>
            <w:noWrap/>
            <w:tcMar>
              <w:top w:w="15" w:type="dxa"/>
              <w:left w:w="15" w:type="dxa"/>
              <w:right w:w="15" w:type="dxa"/>
            </w:tcMar>
            <w:vAlign w:val="center"/>
          </w:tcPr>
          <w:p>
            <w:pPr>
              <w:pStyle w:val="23"/>
              <w:bidi w:val="0"/>
              <w:rPr>
                <w:rFonts w:hint="eastAsia"/>
              </w:rPr>
            </w:pPr>
          </w:p>
        </w:tc>
        <w:tc>
          <w:tcPr>
            <w:tcW w:w="444"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直播种草</w:t>
            </w:r>
          </w:p>
        </w:tc>
        <w:tc>
          <w:tcPr>
            <w:tcW w:w="263"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hm</w:t>
            </w:r>
            <w:r>
              <w:rPr>
                <w:rFonts w:hint="eastAsia"/>
                <w:vertAlign w:val="superscript"/>
                <w:lang w:val="en-US" w:eastAsia="zh-CN"/>
              </w:rPr>
              <w:t>2</w:t>
            </w:r>
          </w:p>
        </w:tc>
        <w:tc>
          <w:tcPr>
            <w:tcW w:w="889"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0.1</w:t>
            </w:r>
          </w:p>
        </w:tc>
        <w:tc>
          <w:tcPr>
            <w:tcW w:w="749"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0.1</w:t>
            </w:r>
          </w:p>
        </w:tc>
        <w:tc>
          <w:tcPr>
            <w:tcW w:w="527"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0</w:t>
            </w:r>
          </w:p>
        </w:tc>
        <w:tc>
          <w:tcPr>
            <w:tcW w:w="1066"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基本无变化</w:t>
            </w:r>
          </w:p>
        </w:tc>
      </w:tr>
    </w:tbl>
    <w:p>
      <w:pPr>
        <w:pStyle w:val="3"/>
        <w:rPr>
          <w:rFonts w:ascii="Times New Roman" w:hAnsi="Times New Roman" w:cs="Times New Roman"/>
        </w:rPr>
      </w:pPr>
      <w:r>
        <w:rPr>
          <w:rFonts w:ascii="Times New Roman" w:hAnsi="Times New Roman" w:cs="Times New Roman"/>
        </w:rPr>
        <w:t>临时防护措施监测结果</w:t>
      </w:r>
      <w:bookmarkEnd w:id="61"/>
      <w:bookmarkEnd w:id="62"/>
      <w:bookmarkEnd w:id="63"/>
    </w:p>
    <w:p>
      <w:pPr>
        <w:pStyle w:val="4"/>
        <w:rPr>
          <w:rFonts w:cs="Times New Roman"/>
        </w:rPr>
      </w:pPr>
      <w:r>
        <w:rPr>
          <w:rFonts w:cs="Times New Roman"/>
        </w:rPr>
        <w:t>临时</w:t>
      </w:r>
      <w:r>
        <w:rPr>
          <w:rStyle w:val="19"/>
          <w:rFonts w:cs="Times New Roman"/>
          <w:bCs w:val="0"/>
        </w:rPr>
        <w:t>措施</w:t>
      </w:r>
      <w:r>
        <w:rPr>
          <w:rFonts w:cs="Times New Roman"/>
        </w:rPr>
        <w:t>设计情况</w:t>
      </w:r>
    </w:p>
    <w:p>
      <w:pPr>
        <w:ind w:firstLine="480"/>
        <w:rPr>
          <w:rFonts w:cs="Times New Roman"/>
        </w:rPr>
      </w:pPr>
      <w:r>
        <w:rPr>
          <w:rFonts w:cs="Times New Roman"/>
        </w:rPr>
        <w:t>由于现阶段临时措施已基本被拆除</w:t>
      </w:r>
      <w:r>
        <w:rPr>
          <w:rFonts w:hint="eastAsia" w:cs="Times New Roman"/>
        </w:rPr>
        <w:t>,</w:t>
      </w:r>
      <w:r>
        <w:rPr>
          <w:rFonts w:cs="Times New Roman"/>
        </w:rPr>
        <w:t>技术人员只能通过查阅的工程施工过程资料、影像资料、主体监理资料等相关资料确认，建设单位在施工过程中对表土实施了临时挡护，实施临时措施结合现场实际情况进行了</w:t>
      </w:r>
      <w:r>
        <w:rPr>
          <w:rFonts w:hint="eastAsia" w:cs="Times New Roman"/>
        </w:rPr>
        <w:t>合理布设</w:t>
      </w:r>
      <w:r>
        <w:rPr>
          <w:rFonts w:cs="Times New Roman"/>
        </w:rPr>
        <w:t>，建设单位临时措施实施进度根据主体工程施工进度相继实施完成了临时措施，总体进度满足主体工程和水土保持要求。</w:t>
      </w:r>
    </w:p>
    <w:p>
      <w:pPr>
        <w:pStyle w:val="24"/>
        <w:rPr>
          <w:rFonts w:cs="Times New Roman"/>
        </w:rPr>
      </w:pPr>
      <w:r>
        <w:rPr>
          <w:rFonts w:cs="Times New Roman"/>
        </w:rPr>
        <w:t>表</w:t>
      </w:r>
      <w:r>
        <w:rPr>
          <w:rFonts w:hint="eastAsia" w:cs="Times New Roman"/>
        </w:rPr>
        <w:t>4.3-1</w:t>
      </w:r>
      <w:r>
        <w:rPr>
          <w:rFonts w:cs="Times New Roman"/>
        </w:rPr>
        <w:t xml:space="preserve"> 实际完成和批复方案的水土保持临时措施对比情况</w:t>
      </w:r>
    </w:p>
    <w:tbl>
      <w:tblPr>
        <w:tblStyle w:val="13"/>
        <w:tblW w:w="5000" w:type="pct"/>
        <w:tblInd w:w="0" w:type="dxa"/>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auto"/>
        <w:tblLayout w:type="autofit"/>
        <w:tblCellMar>
          <w:top w:w="0" w:type="dxa"/>
          <w:left w:w="0" w:type="dxa"/>
          <w:bottom w:w="0" w:type="dxa"/>
          <w:right w:w="0" w:type="dxa"/>
        </w:tblCellMar>
      </w:tblPr>
      <w:tblGrid>
        <w:gridCol w:w="2100"/>
        <w:gridCol w:w="1765"/>
        <w:gridCol w:w="595"/>
        <w:gridCol w:w="847"/>
        <w:gridCol w:w="847"/>
        <w:gridCol w:w="681"/>
        <w:gridCol w:w="2265"/>
      </w:tblGrid>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720" w:hRule="atLeast"/>
        </w:trPr>
        <w:tc>
          <w:tcPr>
            <w:tcW w:w="1153" w:type="pct"/>
            <w:tcBorders>
              <w:tl2br w:val="nil"/>
              <w:tr2bl w:val="nil"/>
            </w:tcBorders>
            <w:shd w:val="clear" w:color="auto" w:fill="auto"/>
            <w:tcMar>
              <w:top w:w="15" w:type="dxa"/>
              <w:left w:w="15" w:type="dxa"/>
              <w:right w:w="15" w:type="dxa"/>
            </w:tcMar>
            <w:vAlign w:val="center"/>
          </w:tcPr>
          <w:p>
            <w:pPr>
              <w:pStyle w:val="23"/>
              <w:bidi w:val="0"/>
            </w:pPr>
            <w:r>
              <w:rPr>
                <w:rFonts w:hint="eastAsia"/>
                <w:lang w:val="en-US" w:eastAsia="zh-CN"/>
              </w:rPr>
              <w:t>防治分区</w:t>
            </w:r>
          </w:p>
        </w:tc>
        <w:tc>
          <w:tcPr>
            <w:tcW w:w="969" w:type="pct"/>
            <w:tcBorders>
              <w:tl2br w:val="nil"/>
              <w:tr2bl w:val="nil"/>
            </w:tcBorders>
            <w:shd w:val="clear" w:color="auto" w:fill="auto"/>
            <w:tcMar>
              <w:top w:w="15" w:type="dxa"/>
              <w:left w:w="15" w:type="dxa"/>
              <w:right w:w="15" w:type="dxa"/>
            </w:tcMar>
            <w:vAlign w:val="center"/>
          </w:tcPr>
          <w:p>
            <w:pPr>
              <w:pStyle w:val="23"/>
              <w:bidi w:val="0"/>
              <w:rPr>
                <w:rFonts w:hint="eastAsia"/>
              </w:rPr>
            </w:pPr>
            <w:r>
              <w:rPr>
                <w:rFonts w:hint="eastAsia"/>
                <w:lang w:val="en-US" w:eastAsia="zh-CN"/>
              </w:rPr>
              <w:t>具体措施</w:t>
            </w:r>
          </w:p>
        </w:tc>
        <w:tc>
          <w:tcPr>
            <w:tcW w:w="327" w:type="pct"/>
            <w:tcBorders>
              <w:tl2br w:val="nil"/>
              <w:tr2bl w:val="nil"/>
            </w:tcBorders>
            <w:shd w:val="clear" w:color="auto" w:fill="auto"/>
            <w:tcMar>
              <w:top w:w="15" w:type="dxa"/>
              <w:left w:w="15" w:type="dxa"/>
              <w:right w:w="15" w:type="dxa"/>
            </w:tcMar>
            <w:vAlign w:val="center"/>
          </w:tcPr>
          <w:p>
            <w:pPr>
              <w:pStyle w:val="23"/>
              <w:bidi w:val="0"/>
              <w:rPr>
                <w:rFonts w:hint="eastAsia"/>
              </w:rPr>
            </w:pPr>
            <w:r>
              <w:rPr>
                <w:rFonts w:hint="eastAsia"/>
                <w:lang w:val="en-US" w:eastAsia="zh-CN"/>
              </w:rPr>
              <w:t>单位</w:t>
            </w:r>
          </w:p>
        </w:tc>
        <w:tc>
          <w:tcPr>
            <w:tcW w:w="465" w:type="pct"/>
            <w:tcBorders>
              <w:tl2br w:val="nil"/>
              <w:tr2bl w:val="nil"/>
            </w:tcBorders>
            <w:shd w:val="clear" w:color="auto" w:fill="auto"/>
            <w:tcMar>
              <w:top w:w="15" w:type="dxa"/>
              <w:left w:w="15" w:type="dxa"/>
              <w:right w:w="15" w:type="dxa"/>
            </w:tcMar>
            <w:vAlign w:val="center"/>
          </w:tcPr>
          <w:p>
            <w:pPr>
              <w:pStyle w:val="23"/>
              <w:bidi w:val="0"/>
              <w:rPr>
                <w:rFonts w:hint="eastAsia"/>
              </w:rPr>
            </w:pPr>
            <w:r>
              <w:rPr>
                <w:rFonts w:hint="eastAsia"/>
                <w:lang w:val="en-US" w:eastAsia="zh-CN"/>
              </w:rPr>
              <w:t>水保方案设计工程量</w:t>
            </w:r>
          </w:p>
        </w:tc>
        <w:tc>
          <w:tcPr>
            <w:tcW w:w="465" w:type="pct"/>
            <w:tcBorders>
              <w:tl2br w:val="nil"/>
              <w:tr2bl w:val="nil"/>
            </w:tcBorders>
            <w:shd w:val="clear" w:color="auto" w:fill="auto"/>
            <w:tcMar>
              <w:top w:w="15" w:type="dxa"/>
              <w:left w:w="15" w:type="dxa"/>
              <w:right w:w="15" w:type="dxa"/>
            </w:tcMar>
            <w:vAlign w:val="center"/>
          </w:tcPr>
          <w:p>
            <w:pPr>
              <w:pStyle w:val="23"/>
              <w:bidi w:val="0"/>
              <w:rPr>
                <w:rFonts w:hint="eastAsia"/>
              </w:rPr>
            </w:pPr>
            <w:r>
              <w:rPr>
                <w:rFonts w:hint="eastAsia"/>
                <w:lang w:val="en-US" w:eastAsia="zh-CN"/>
              </w:rPr>
              <w:t>实际完成工程量</w:t>
            </w:r>
          </w:p>
        </w:tc>
        <w:tc>
          <w:tcPr>
            <w:tcW w:w="374" w:type="pct"/>
            <w:tcBorders>
              <w:tl2br w:val="nil"/>
              <w:tr2bl w:val="nil"/>
            </w:tcBorders>
            <w:shd w:val="clear" w:color="auto" w:fill="auto"/>
            <w:tcMar>
              <w:top w:w="15" w:type="dxa"/>
              <w:left w:w="15" w:type="dxa"/>
              <w:right w:w="15" w:type="dxa"/>
            </w:tcMar>
            <w:vAlign w:val="center"/>
          </w:tcPr>
          <w:p>
            <w:pPr>
              <w:pStyle w:val="23"/>
              <w:bidi w:val="0"/>
              <w:rPr>
                <w:rFonts w:hint="eastAsia"/>
              </w:rPr>
            </w:pPr>
            <w:r>
              <w:rPr>
                <w:rFonts w:hint="eastAsia"/>
                <w:lang w:val="en-US" w:eastAsia="zh-CN"/>
              </w:rPr>
              <w:t>变化情况</w:t>
            </w:r>
          </w:p>
        </w:tc>
        <w:tc>
          <w:tcPr>
            <w:tcW w:w="1244" w:type="pct"/>
            <w:tcBorders>
              <w:tl2br w:val="nil"/>
              <w:tr2bl w:val="nil"/>
            </w:tcBorders>
            <w:shd w:val="clear" w:color="auto" w:fill="auto"/>
            <w:tcMar>
              <w:top w:w="15" w:type="dxa"/>
              <w:left w:w="15" w:type="dxa"/>
              <w:right w:w="15" w:type="dxa"/>
            </w:tcMar>
            <w:vAlign w:val="center"/>
          </w:tcPr>
          <w:p>
            <w:pPr>
              <w:pStyle w:val="23"/>
              <w:bidi w:val="0"/>
              <w:rPr>
                <w:rFonts w:hint="eastAsia"/>
              </w:rPr>
            </w:pPr>
            <w:r>
              <w:rPr>
                <w:rFonts w:hint="eastAsia"/>
                <w:lang w:val="en-US" w:eastAsia="zh-CN"/>
              </w:rPr>
              <w:t>变化原因</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153" w:type="pct"/>
            <w:vMerge w:val="restar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建构筑物防治区</w:t>
            </w:r>
          </w:p>
        </w:tc>
        <w:tc>
          <w:tcPr>
            <w:tcW w:w="969"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密目网遮盖及拆除</w:t>
            </w:r>
          </w:p>
        </w:tc>
        <w:tc>
          <w:tcPr>
            <w:tcW w:w="327"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m</w:t>
            </w:r>
            <w:r>
              <w:rPr>
                <w:rFonts w:hint="eastAsia"/>
                <w:vertAlign w:val="superscript"/>
                <w:lang w:val="en-US" w:eastAsia="zh-CN"/>
              </w:rPr>
              <w:t>2</w:t>
            </w:r>
          </w:p>
        </w:tc>
        <w:tc>
          <w:tcPr>
            <w:tcW w:w="465"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10000</w:t>
            </w:r>
          </w:p>
        </w:tc>
        <w:tc>
          <w:tcPr>
            <w:tcW w:w="465"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10000</w:t>
            </w:r>
          </w:p>
        </w:tc>
        <w:tc>
          <w:tcPr>
            <w:tcW w:w="374"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0</w:t>
            </w:r>
          </w:p>
        </w:tc>
        <w:tc>
          <w:tcPr>
            <w:tcW w:w="1244"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基本无变化</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1153" w:type="pct"/>
            <w:vMerge w:val="continue"/>
            <w:tcBorders>
              <w:tl2br w:val="nil"/>
              <w:tr2bl w:val="nil"/>
            </w:tcBorders>
            <w:shd w:val="clear" w:color="auto" w:fill="auto"/>
            <w:noWrap/>
            <w:tcMar>
              <w:top w:w="15" w:type="dxa"/>
              <w:left w:w="15" w:type="dxa"/>
              <w:right w:w="15" w:type="dxa"/>
            </w:tcMar>
            <w:vAlign w:val="center"/>
          </w:tcPr>
          <w:p>
            <w:pPr>
              <w:pStyle w:val="23"/>
              <w:bidi w:val="0"/>
              <w:rPr>
                <w:rFonts w:hint="eastAsia"/>
              </w:rPr>
            </w:pPr>
          </w:p>
        </w:tc>
        <w:tc>
          <w:tcPr>
            <w:tcW w:w="969"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排水沟开挖</w:t>
            </w:r>
          </w:p>
        </w:tc>
        <w:tc>
          <w:tcPr>
            <w:tcW w:w="327"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m</w:t>
            </w:r>
            <w:r>
              <w:rPr>
                <w:rFonts w:hint="eastAsia"/>
                <w:vertAlign w:val="superscript"/>
                <w:lang w:val="en-US" w:eastAsia="zh-CN"/>
              </w:rPr>
              <w:t>3</w:t>
            </w:r>
          </w:p>
        </w:tc>
        <w:tc>
          <w:tcPr>
            <w:tcW w:w="465"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144</w:t>
            </w:r>
          </w:p>
        </w:tc>
        <w:tc>
          <w:tcPr>
            <w:tcW w:w="465"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162</w:t>
            </w:r>
          </w:p>
        </w:tc>
        <w:tc>
          <w:tcPr>
            <w:tcW w:w="374"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18</w:t>
            </w:r>
          </w:p>
        </w:tc>
        <w:tc>
          <w:tcPr>
            <w:tcW w:w="1244" w:type="pct"/>
            <w:tcBorders>
              <w:tl2br w:val="nil"/>
              <w:tr2bl w:val="nil"/>
            </w:tcBorders>
            <w:shd w:val="clear" w:color="auto" w:fill="auto"/>
            <w:noWrap/>
            <w:tcMar>
              <w:top w:w="15" w:type="dxa"/>
              <w:left w:w="15" w:type="dxa"/>
              <w:right w:w="15" w:type="dxa"/>
            </w:tcMar>
            <w:vAlign w:val="center"/>
          </w:tcPr>
          <w:p>
            <w:pPr>
              <w:pStyle w:val="23"/>
              <w:bidi w:val="0"/>
            </w:pPr>
            <w:r>
              <w:rPr>
                <w:rFonts w:hint="eastAsia"/>
                <w:lang w:val="en-US" w:eastAsia="zh-CN"/>
              </w:rPr>
              <w:t>根据实际情况进行调整</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1153" w:type="pct"/>
            <w:vMerge w:val="restar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道路及硬化工程防治区</w:t>
            </w:r>
          </w:p>
        </w:tc>
        <w:tc>
          <w:tcPr>
            <w:tcW w:w="969"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密目网遮盖及拆除</w:t>
            </w:r>
          </w:p>
        </w:tc>
        <w:tc>
          <w:tcPr>
            <w:tcW w:w="327"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m</w:t>
            </w:r>
            <w:r>
              <w:rPr>
                <w:rFonts w:hint="eastAsia"/>
                <w:vertAlign w:val="superscript"/>
                <w:lang w:val="en-US" w:eastAsia="zh-CN"/>
              </w:rPr>
              <w:t>2</w:t>
            </w:r>
          </w:p>
        </w:tc>
        <w:tc>
          <w:tcPr>
            <w:tcW w:w="465"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500</w:t>
            </w:r>
          </w:p>
        </w:tc>
        <w:tc>
          <w:tcPr>
            <w:tcW w:w="465"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620</w:t>
            </w:r>
          </w:p>
        </w:tc>
        <w:tc>
          <w:tcPr>
            <w:tcW w:w="374"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120</w:t>
            </w:r>
          </w:p>
        </w:tc>
        <w:tc>
          <w:tcPr>
            <w:tcW w:w="1244"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根据实际情况进行调整</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1153" w:type="pct"/>
            <w:vMerge w:val="continue"/>
            <w:tcBorders>
              <w:tl2br w:val="nil"/>
              <w:tr2bl w:val="nil"/>
            </w:tcBorders>
            <w:shd w:val="clear" w:color="auto" w:fill="auto"/>
            <w:noWrap/>
            <w:tcMar>
              <w:top w:w="15" w:type="dxa"/>
              <w:left w:w="15" w:type="dxa"/>
              <w:right w:w="15" w:type="dxa"/>
            </w:tcMar>
            <w:vAlign w:val="center"/>
          </w:tcPr>
          <w:p>
            <w:pPr>
              <w:pStyle w:val="23"/>
              <w:bidi w:val="0"/>
              <w:rPr>
                <w:rFonts w:hint="eastAsia"/>
              </w:rPr>
            </w:pPr>
          </w:p>
        </w:tc>
        <w:tc>
          <w:tcPr>
            <w:tcW w:w="969"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排水沟开挖</w:t>
            </w:r>
          </w:p>
        </w:tc>
        <w:tc>
          <w:tcPr>
            <w:tcW w:w="327"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m</w:t>
            </w:r>
            <w:r>
              <w:rPr>
                <w:rFonts w:hint="eastAsia"/>
                <w:vertAlign w:val="superscript"/>
                <w:lang w:val="en-US" w:eastAsia="zh-CN"/>
              </w:rPr>
              <w:t>3</w:t>
            </w:r>
          </w:p>
        </w:tc>
        <w:tc>
          <w:tcPr>
            <w:tcW w:w="465"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19.2</w:t>
            </w:r>
          </w:p>
        </w:tc>
        <w:tc>
          <w:tcPr>
            <w:tcW w:w="465"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21.8</w:t>
            </w:r>
          </w:p>
        </w:tc>
        <w:tc>
          <w:tcPr>
            <w:tcW w:w="374"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2.6</w:t>
            </w:r>
          </w:p>
        </w:tc>
        <w:tc>
          <w:tcPr>
            <w:tcW w:w="1244"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根据实际情况进行调整</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153" w:type="pct"/>
            <w:vMerge w:val="continue"/>
            <w:tcBorders>
              <w:tl2br w:val="nil"/>
              <w:tr2bl w:val="nil"/>
            </w:tcBorders>
            <w:shd w:val="clear" w:color="auto" w:fill="auto"/>
            <w:noWrap/>
            <w:tcMar>
              <w:top w:w="15" w:type="dxa"/>
              <w:left w:w="15" w:type="dxa"/>
              <w:right w:w="15" w:type="dxa"/>
            </w:tcMar>
            <w:vAlign w:val="center"/>
          </w:tcPr>
          <w:p>
            <w:pPr>
              <w:pStyle w:val="23"/>
              <w:bidi w:val="0"/>
              <w:rPr>
                <w:rFonts w:hint="eastAsia"/>
              </w:rPr>
            </w:pPr>
          </w:p>
        </w:tc>
        <w:tc>
          <w:tcPr>
            <w:tcW w:w="969"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沉砂池开挖</w:t>
            </w:r>
          </w:p>
        </w:tc>
        <w:tc>
          <w:tcPr>
            <w:tcW w:w="327"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m</w:t>
            </w:r>
            <w:r>
              <w:rPr>
                <w:rFonts w:hint="eastAsia"/>
                <w:vertAlign w:val="superscript"/>
                <w:lang w:val="en-US" w:eastAsia="zh-CN"/>
              </w:rPr>
              <w:t>3</w:t>
            </w:r>
          </w:p>
        </w:tc>
        <w:tc>
          <w:tcPr>
            <w:tcW w:w="465"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1.72</w:t>
            </w:r>
          </w:p>
        </w:tc>
        <w:tc>
          <w:tcPr>
            <w:tcW w:w="465"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1.72</w:t>
            </w:r>
          </w:p>
        </w:tc>
        <w:tc>
          <w:tcPr>
            <w:tcW w:w="374"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0</w:t>
            </w:r>
          </w:p>
        </w:tc>
        <w:tc>
          <w:tcPr>
            <w:tcW w:w="1244"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基本无变化</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153" w:type="pct"/>
            <w:vMerge w:val="continue"/>
            <w:tcBorders>
              <w:tl2br w:val="nil"/>
              <w:tr2bl w:val="nil"/>
            </w:tcBorders>
            <w:shd w:val="clear" w:color="auto" w:fill="auto"/>
            <w:noWrap/>
            <w:tcMar>
              <w:top w:w="15" w:type="dxa"/>
              <w:left w:w="15" w:type="dxa"/>
              <w:right w:w="15" w:type="dxa"/>
            </w:tcMar>
            <w:vAlign w:val="center"/>
          </w:tcPr>
          <w:p>
            <w:pPr>
              <w:pStyle w:val="23"/>
              <w:bidi w:val="0"/>
              <w:rPr>
                <w:rFonts w:hint="eastAsia"/>
              </w:rPr>
            </w:pPr>
          </w:p>
        </w:tc>
        <w:tc>
          <w:tcPr>
            <w:tcW w:w="969"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土袋挡墙及拆除</w:t>
            </w:r>
          </w:p>
        </w:tc>
        <w:tc>
          <w:tcPr>
            <w:tcW w:w="327" w:type="pct"/>
            <w:tcBorders>
              <w:tl2br w:val="nil"/>
              <w:tr2bl w:val="nil"/>
            </w:tcBorders>
            <w:shd w:val="clear" w:color="auto" w:fill="auto"/>
            <w:noWrap/>
            <w:tcMar>
              <w:top w:w="15" w:type="dxa"/>
              <w:left w:w="15" w:type="dxa"/>
              <w:right w:w="15" w:type="dxa"/>
            </w:tcMar>
            <w:vAlign w:val="center"/>
          </w:tcPr>
          <w:p>
            <w:pPr>
              <w:pStyle w:val="49"/>
              <w:bidi w:val="0"/>
              <w:rPr>
                <w:rFonts w:hint="eastAsia"/>
              </w:rPr>
            </w:pPr>
            <w:r>
              <w:rPr>
                <w:rFonts w:hint="eastAsia"/>
                <w:lang w:val="en-US" w:eastAsia="zh-CN"/>
              </w:rPr>
              <w:t>m</w:t>
            </w:r>
            <w:r>
              <w:rPr>
                <w:rFonts w:hint="eastAsia"/>
                <w:vertAlign w:val="superscript"/>
                <w:lang w:val="en-US" w:eastAsia="zh-CN"/>
              </w:rPr>
              <w:t>3</w:t>
            </w:r>
          </w:p>
        </w:tc>
        <w:tc>
          <w:tcPr>
            <w:tcW w:w="465"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51.2</w:t>
            </w:r>
          </w:p>
        </w:tc>
        <w:tc>
          <w:tcPr>
            <w:tcW w:w="465"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51.2</w:t>
            </w:r>
          </w:p>
        </w:tc>
        <w:tc>
          <w:tcPr>
            <w:tcW w:w="374"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0</w:t>
            </w:r>
          </w:p>
        </w:tc>
        <w:tc>
          <w:tcPr>
            <w:tcW w:w="1244" w:type="pct"/>
            <w:tcBorders>
              <w:tl2br w:val="nil"/>
              <w:tr2bl w:val="nil"/>
            </w:tcBorders>
            <w:shd w:val="clear" w:color="auto" w:fill="auto"/>
            <w:noWrap/>
            <w:tcMar>
              <w:top w:w="15" w:type="dxa"/>
              <w:left w:w="15" w:type="dxa"/>
              <w:right w:w="15" w:type="dxa"/>
            </w:tcMar>
            <w:vAlign w:val="center"/>
          </w:tcPr>
          <w:p>
            <w:pPr>
              <w:pStyle w:val="23"/>
              <w:bidi w:val="0"/>
              <w:rPr>
                <w:rFonts w:hint="eastAsia"/>
              </w:rPr>
            </w:pPr>
            <w:r>
              <w:rPr>
                <w:rFonts w:hint="eastAsia"/>
                <w:lang w:val="en-US" w:eastAsia="zh-CN"/>
              </w:rPr>
              <w:t>基本无变化</w:t>
            </w:r>
          </w:p>
        </w:tc>
      </w:tr>
    </w:tbl>
    <w:p>
      <w:pPr>
        <w:pStyle w:val="4"/>
        <w:rPr>
          <w:rFonts w:cs="Times New Roman"/>
        </w:rPr>
      </w:pPr>
      <w:r>
        <w:rPr>
          <w:rFonts w:cs="Times New Roman"/>
        </w:rPr>
        <w:t>临时措施防治效果</w:t>
      </w:r>
    </w:p>
    <w:p>
      <w:pPr>
        <w:ind w:firstLine="480"/>
        <w:rPr>
          <w:rFonts w:cs="Times New Roman"/>
        </w:rPr>
      </w:pPr>
      <w:r>
        <w:rPr>
          <w:rFonts w:cs="Times New Roman"/>
        </w:rPr>
        <w:t>通过对主体工程中具有水土保持功能措施和水土保持工程措施完成情况的统计分析。从时间上，实施过程中先进行了</w:t>
      </w:r>
      <w:r>
        <w:rPr>
          <w:rFonts w:hint="eastAsia" w:cs="Times New Roman"/>
        </w:rPr>
        <w:t>临时遮盖</w:t>
      </w:r>
      <w:r>
        <w:rPr>
          <w:rFonts w:cs="Times New Roman"/>
        </w:rPr>
        <w:t>，在土建工程即将完成之际，及时实施绿化措施，工序衔接合理，符合植物措施施工作业界面要求和水土保持要求。</w:t>
      </w:r>
    </w:p>
    <w:p>
      <w:pPr>
        <w:pStyle w:val="3"/>
        <w:rPr>
          <w:rFonts w:ascii="Times New Roman" w:hAnsi="Times New Roman" w:cs="Times New Roman"/>
        </w:rPr>
      </w:pPr>
      <w:bookmarkStart w:id="64" w:name="_Toc2534371"/>
      <w:bookmarkStart w:id="65" w:name="_Toc5825914"/>
      <w:bookmarkStart w:id="66" w:name="_Toc21666"/>
      <w:r>
        <w:rPr>
          <w:rFonts w:ascii="Times New Roman" w:hAnsi="Times New Roman" w:cs="Times New Roman"/>
        </w:rPr>
        <w:t>水土保持措施防治效果</w:t>
      </w:r>
      <w:bookmarkEnd w:id="64"/>
      <w:bookmarkEnd w:id="65"/>
      <w:bookmarkEnd w:id="66"/>
    </w:p>
    <w:p>
      <w:pPr>
        <w:ind w:firstLine="480"/>
        <w:rPr>
          <w:rFonts w:cs="Times New Roman"/>
        </w:rPr>
      </w:pPr>
      <w:r>
        <w:rPr>
          <w:rFonts w:cs="Times New Roman"/>
        </w:rPr>
        <w:t>施工初期，工程水土保持防治措施实施情况由主体工程监理单位监督实施，根据工程建设过程控制资料，20</w:t>
      </w:r>
      <w:r>
        <w:rPr>
          <w:rFonts w:hint="eastAsia" w:cs="Times New Roman"/>
        </w:rPr>
        <w:t>20</w:t>
      </w:r>
      <w:r>
        <w:rPr>
          <w:rFonts w:cs="Times New Roman"/>
        </w:rPr>
        <w:t>年</w:t>
      </w:r>
      <w:r>
        <w:rPr>
          <w:rFonts w:hint="eastAsia" w:cs="Times New Roman"/>
          <w:lang w:val="en-US" w:eastAsia="zh-CN"/>
        </w:rPr>
        <w:t>6</w:t>
      </w:r>
      <w:r>
        <w:rPr>
          <w:rFonts w:cs="Times New Roman"/>
        </w:rPr>
        <w:t>月监测小组进场</w:t>
      </w:r>
      <w:r>
        <w:rPr>
          <w:rFonts w:hint="eastAsia" w:cs="Times New Roman"/>
        </w:rPr>
        <w:t>，</w:t>
      </w:r>
      <w:r>
        <w:rPr>
          <w:rFonts w:cs="Times New Roman"/>
        </w:rPr>
        <w:t>主要通过巡查和调查的方法，对前期工程水土保持防治水土保持防治效果进行了监测及其工程量进行了核查。根据建设过程控制资料和现场监测情况，已实施的各项水土保持防治措施，在施工过程中发挥了应有的水土保持效果，工程建设过程中未发生因工程水土保持防治措施不完善带来的水土流失灾害情况。</w:t>
      </w:r>
    </w:p>
    <w:p>
      <w:pPr>
        <w:ind w:firstLine="480"/>
        <w:rPr>
          <w:rFonts w:cs="Times New Roman"/>
        </w:rPr>
      </w:pPr>
      <w:r>
        <w:rPr>
          <w:rFonts w:cs="Times New Roman"/>
        </w:rPr>
        <w:t>通过调查以及结合施工期间的资料，工程施工过程中，为控制施工扰动产生的水土流失建设单位采取了相应的水土保持工程措施及临时措施，有效的保证了本工程施工的正常进行；</w:t>
      </w:r>
      <w:r>
        <w:rPr>
          <w:rFonts w:hint="eastAsia" w:cs="Times New Roman"/>
          <w:lang w:eastAsia="zh-CN"/>
        </w:rPr>
        <w:t>建构筑物防治区</w:t>
      </w:r>
      <w:r>
        <w:rPr>
          <w:rFonts w:cs="Times New Roman"/>
        </w:rPr>
        <w:t>采取了工程措施为主，植物措施、临时措施为辅的防治体系，有效的保证了</w:t>
      </w:r>
      <w:r>
        <w:rPr>
          <w:rFonts w:hint="eastAsia" w:cs="Times New Roman"/>
          <w:lang w:eastAsia="zh-CN"/>
        </w:rPr>
        <w:t>建构筑物防治区</w:t>
      </w:r>
      <w:r>
        <w:rPr>
          <w:rFonts w:cs="Times New Roman"/>
        </w:rPr>
        <w:t>正常施工；同时有效的控制了工程新增水土流失的产生；施工结束后，对相应区域及时实施了植物措施，为本工程</w:t>
      </w:r>
      <w:r>
        <w:rPr>
          <w:rFonts w:hint="eastAsia" w:cs="Times New Roman"/>
        </w:rPr>
        <w:t>建设期</w:t>
      </w:r>
      <w:r>
        <w:rPr>
          <w:rFonts w:cs="Times New Roman"/>
        </w:rPr>
        <w:t>的安全提供了有力的保障。以上实施的各项工程措施及植物措施现均保存完好，运行良好。</w:t>
      </w:r>
    </w:p>
    <w:p>
      <w:pPr>
        <w:ind w:firstLine="480"/>
        <w:rPr>
          <w:rFonts w:cs="Times New Roman"/>
          <w:color w:val="000000"/>
          <w:szCs w:val="24"/>
        </w:rPr>
      </w:pPr>
      <w:r>
        <w:rPr>
          <w:rFonts w:cs="Times New Roman"/>
          <w:color w:val="000000"/>
          <w:szCs w:val="24"/>
        </w:rPr>
        <w:t>根据监测结果，</w:t>
      </w:r>
      <w:r>
        <w:rPr>
          <w:rFonts w:hint="eastAsia" w:cs="Times New Roman"/>
          <w:lang w:eastAsia="zh-CN"/>
        </w:rPr>
        <w:t>上海千缘汽车车身模具有限公司关于汽车零部件制造的项目</w:t>
      </w:r>
      <w:r>
        <w:rPr>
          <w:rFonts w:hint="eastAsia" w:cs="Times New Roman"/>
        </w:rPr>
        <w:t>项目</w:t>
      </w:r>
      <w:r>
        <w:rPr>
          <w:rFonts w:cs="Times New Roman"/>
          <w:color w:val="000000"/>
          <w:szCs w:val="24"/>
        </w:rPr>
        <w:t>建设期间施工实际</w:t>
      </w:r>
      <w:r>
        <w:rPr>
          <w:rFonts w:hint="eastAsia" w:cs="Times New Roman"/>
          <w:color w:val="000000"/>
          <w:szCs w:val="24"/>
        </w:rPr>
        <w:t>水土流失面积</w:t>
      </w:r>
      <w:r>
        <w:rPr>
          <w:rFonts w:cs="Times New Roman"/>
          <w:color w:val="000000"/>
          <w:szCs w:val="24"/>
        </w:rPr>
        <w:t>为</w:t>
      </w:r>
      <w:r>
        <w:rPr>
          <w:rFonts w:hint="eastAsia" w:cs="Times New Roman"/>
          <w:color w:val="000000"/>
          <w:lang w:eastAsia="zh-CN"/>
        </w:rPr>
        <w:t>0.32</w:t>
      </w:r>
      <w:r>
        <w:rPr>
          <w:rFonts w:hint="eastAsia" w:cs="Times New Roman"/>
          <w:color w:val="000000"/>
        </w:rPr>
        <w:t xml:space="preserve"> </w:t>
      </w:r>
      <w:r>
        <w:rPr>
          <w:rFonts w:cs="Times New Roman"/>
          <w:szCs w:val="28"/>
        </w:rPr>
        <w:t>hm</w:t>
      </w:r>
      <w:r>
        <w:rPr>
          <w:rFonts w:cs="Times New Roman"/>
          <w:szCs w:val="28"/>
          <w:vertAlign w:val="superscript"/>
        </w:rPr>
        <w:t>2</w:t>
      </w:r>
      <w:r>
        <w:rPr>
          <w:rFonts w:cs="Times New Roman"/>
          <w:szCs w:val="28"/>
        </w:rPr>
        <w:t>，设计水平年结束（以2019年</w:t>
      </w:r>
      <w:r>
        <w:rPr>
          <w:rFonts w:hint="eastAsia" w:cs="Times New Roman"/>
          <w:szCs w:val="28"/>
        </w:rPr>
        <w:t>10</w:t>
      </w:r>
      <w:r>
        <w:rPr>
          <w:rFonts w:cs="Times New Roman"/>
          <w:szCs w:val="28"/>
        </w:rPr>
        <w:t>月监测为准），整治面积为</w:t>
      </w:r>
      <w:r>
        <w:rPr>
          <w:rFonts w:hint="eastAsia" w:cs="Times New Roman"/>
          <w:szCs w:val="28"/>
          <w:lang w:eastAsia="zh-CN"/>
        </w:rPr>
        <w:t>0.32</w:t>
      </w:r>
      <w:r>
        <w:rPr>
          <w:rFonts w:hint="eastAsia" w:cs="Times New Roman"/>
          <w:szCs w:val="28"/>
        </w:rPr>
        <w:t xml:space="preserve"> </w:t>
      </w:r>
      <w:r>
        <w:rPr>
          <w:rFonts w:cs="Times New Roman"/>
          <w:szCs w:val="28"/>
        </w:rPr>
        <w:t>hm</w:t>
      </w:r>
      <w:r>
        <w:rPr>
          <w:rFonts w:cs="Times New Roman"/>
          <w:szCs w:val="28"/>
          <w:vertAlign w:val="superscript"/>
        </w:rPr>
        <w:t>2</w:t>
      </w:r>
      <w:r>
        <w:rPr>
          <w:rFonts w:cs="Times New Roman"/>
          <w:szCs w:val="28"/>
        </w:rPr>
        <w:t>，</w:t>
      </w:r>
      <w:r>
        <w:rPr>
          <w:rFonts w:hint="eastAsia" w:cs="Times New Roman"/>
          <w:color w:val="000000"/>
          <w:szCs w:val="24"/>
        </w:rPr>
        <w:t>水土流失治理度</w:t>
      </w:r>
      <w:r>
        <w:rPr>
          <w:rFonts w:cs="Times New Roman"/>
          <w:szCs w:val="28"/>
        </w:rPr>
        <w:t>为</w:t>
      </w:r>
      <w:r>
        <w:rPr>
          <w:rFonts w:hint="eastAsia" w:cs="Times New Roman"/>
          <w:szCs w:val="28"/>
          <w:lang w:eastAsia="zh-CN"/>
        </w:rPr>
        <w:t>99.63</w:t>
      </w:r>
      <w:r>
        <w:rPr>
          <w:rFonts w:cs="Times New Roman"/>
          <w:szCs w:val="28"/>
        </w:rPr>
        <w:t>%</w:t>
      </w:r>
      <w:r>
        <w:rPr>
          <w:rFonts w:cs="Times New Roman"/>
          <w:color w:val="000000"/>
          <w:szCs w:val="24"/>
        </w:rPr>
        <w:t>。</w:t>
      </w:r>
    </w:p>
    <w:p>
      <w:pPr>
        <w:ind w:firstLine="480"/>
        <w:rPr>
          <w:rFonts w:cs="Times New Roman"/>
        </w:rPr>
      </w:pPr>
      <w:r>
        <w:rPr>
          <w:rFonts w:hint="eastAsia" w:cs="Times New Roman"/>
          <w:lang w:eastAsia="zh-CN"/>
        </w:rPr>
        <w:t>上海千缘汽车车身模具有限公司关于汽车零部件制造的项目</w:t>
      </w:r>
      <w:r>
        <w:rPr>
          <w:rFonts w:hint="eastAsia" w:cs="Times New Roman"/>
        </w:rPr>
        <w:t>项目</w:t>
      </w:r>
      <w:r>
        <w:rPr>
          <w:rFonts w:cs="Times New Roman"/>
        </w:rPr>
        <w:t>建设过程中，参照“报告书”及批复要求，落实了相关水土保持措施，有效防治了现场水土流失，目前工程各监测区治理后平均土壤侵蚀模数为</w:t>
      </w:r>
      <w:r>
        <w:rPr>
          <w:rFonts w:hint="eastAsia" w:cs="Times New Roman"/>
        </w:rPr>
        <w:t>4</w:t>
      </w:r>
      <w:r>
        <w:rPr>
          <w:rFonts w:hint="eastAsia" w:cs="Times New Roman"/>
          <w:lang w:val="en-US" w:eastAsia="zh-CN"/>
        </w:rPr>
        <w:t>08</w:t>
      </w:r>
      <w:r>
        <w:rPr>
          <w:rFonts w:cs="Times New Roman"/>
        </w:rPr>
        <w:t>t/km</w:t>
      </w:r>
      <w:r>
        <w:rPr>
          <w:rFonts w:cs="Times New Roman"/>
          <w:vertAlign w:val="superscript"/>
        </w:rPr>
        <w:t>2</w:t>
      </w:r>
      <w:r>
        <w:rPr>
          <w:rFonts w:cs="Times New Roman"/>
        </w:rPr>
        <w:t>·a，土壤流失控制比为</w:t>
      </w:r>
      <w:r>
        <w:rPr>
          <w:rFonts w:hint="eastAsia" w:cs="Times New Roman"/>
        </w:rPr>
        <w:t>1.2</w:t>
      </w:r>
      <w:r>
        <w:rPr>
          <w:rFonts w:hint="eastAsia" w:cs="Times New Roman"/>
          <w:lang w:val="en-US" w:eastAsia="zh-CN"/>
        </w:rPr>
        <w:t>3</w:t>
      </w:r>
      <w:r>
        <w:rPr>
          <w:rFonts w:cs="Times New Roman"/>
        </w:rPr>
        <w:t>，达到了“报告书”设计目标值。</w:t>
      </w:r>
    </w:p>
    <w:p>
      <w:pPr>
        <w:ind w:firstLine="480"/>
        <w:rPr>
          <w:rFonts w:cs="Times New Roman"/>
        </w:rPr>
      </w:pPr>
      <w:r>
        <w:rPr>
          <w:rFonts w:hint="eastAsia" w:cs="Times New Roman"/>
          <w:lang w:eastAsia="zh-CN"/>
        </w:rPr>
        <w:t>上海千缘汽车车身模具有限公司关于汽车零部件制造的项目</w:t>
      </w:r>
      <w:r>
        <w:rPr>
          <w:rFonts w:cs="Times New Roman"/>
        </w:rPr>
        <w:t>施工期间共产生渣量</w:t>
      </w:r>
      <w:r>
        <w:rPr>
          <w:rFonts w:hint="eastAsia" w:cs="Times New Roman"/>
          <w:lang w:eastAsia="zh-CN"/>
        </w:rPr>
        <w:t>12.89</w:t>
      </w:r>
      <w:r>
        <w:rPr>
          <w:rFonts w:cs="Times New Roman"/>
        </w:rPr>
        <w:t>万m</w:t>
      </w:r>
      <w:r>
        <w:rPr>
          <w:rFonts w:cs="Times New Roman"/>
          <w:vertAlign w:val="superscript"/>
        </w:rPr>
        <w:t>3</w:t>
      </w:r>
      <w:r>
        <w:rPr>
          <w:rFonts w:cs="Times New Roman"/>
        </w:rPr>
        <w:t>，实际拦渣量</w:t>
      </w:r>
      <w:r>
        <w:rPr>
          <w:rFonts w:hint="eastAsia" w:cs="Times New Roman"/>
          <w:lang w:eastAsia="zh-CN"/>
        </w:rPr>
        <w:t>12.87</w:t>
      </w:r>
      <w:r>
        <w:rPr>
          <w:rFonts w:cs="Times New Roman"/>
        </w:rPr>
        <w:t>万m</w:t>
      </w:r>
      <w:r>
        <w:rPr>
          <w:rFonts w:cs="Times New Roman"/>
          <w:vertAlign w:val="superscript"/>
        </w:rPr>
        <w:t>3</w:t>
      </w:r>
      <w:r>
        <w:rPr>
          <w:rFonts w:cs="Times New Roman"/>
        </w:rPr>
        <w:t>，</w:t>
      </w:r>
      <w:r>
        <w:rPr>
          <w:rFonts w:hint="eastAsia" w:cs="Times New Roman"/>
        </w:rPr>
        <w:t>拦渣率</w:t>
      </w:r>
      <w:r>
        <w:rPr>
          <w:rFonts w:cs="Times New Roman"/>
        </w:rPr>
        <w:t>为</w:t>
      </w:r>
      <w:r>
        <w:rPr>
          <w:rFonts w:hint="eastAsia" w:cs="Times New Roman"/>
          <w:lang w:eastAsia="zh-CN"/>
        </w:rPr>
        <w:t>99.84</w:t>
      </w:r>
      <w:r>
        <w:rPr>
          <w:rFonts w:cs="Times New Roman"/>
        </w:rPr>
        <w:t>%，满足“报告书”设计的目标要求。</w:t>
      </w:r>
    </w:p>
    <w:p>
      <w:pPr>
        <w:ind w:firstLine="480"/>
        <w:rPr>
          <w:rFonts w:cs="Times New Roman"/>
        </w:rPr>
      </w:pPr>
      <w:r>
        <w:rPr>
          <w:rFonts w:hint="eastAsia" w:cs="Times New Roman"/>
          <w:lang w:eastAsia="zh-CN"/>
        </w:rPr>
        <w:t>上海千缘汽车车身模具有限公司关于汽车零部件制造的项目</w:t>
      </w:r>
      <w:r>
        <w:rPr>
          <w:rFonts w:hint="eastAsia" w:cs="Times New Roman"/>
        </w:rPr>
        <w:t>项目</w:t>
      </w:r>
      <w:r>
        <w:rPr>
          <w:rFonts w:cs="Times New Roman"/>
        </w:rPr>
        <w:t>建设区扣除建筑物占地、</w:t>
      </w:r>
      <w:r>
        <w:rPr>
          <w:rFonts w:hint="eastAsia" w:cs="Times New Roman"/>
          <w:lang w:val="en-US" w:eastAsia="zh-CN"/>
        </w:rPr>
        <w:t>道路硬化区</w:t>
      </w:r>
      <w:r>
        <w:rPr>
          <w:rFonts w:cs="Times New Roman"/>
        </w:rPr>
        <w:t>等其他不可绿化区域后，可绿化面积为</w:t>
      </w:r>
      <w:r>
        <w:rPr>
          <w:rFonts w:hint="eastAsia" w:cs="Times New Roman"/>
          <w:lang w:eastAsia="zh-CN"/>
        </w:rPr>
        <w:t>0.310</w:t>
      </w:r>
      <w:r>
        <w:rPr>
          <w:rFonts w:hint="eastAsia" w:cs="Times New Roman"/>
        </w:rPr>
        <w:t xml:space="preserve"> </w:t>
      </w:r>
      <w:r>
        <w:rPr>
          <w:rFonts w:cs="Times New Roman"/>
        </w:rPr>
        <w:t>hm</w:t>
      </w:r>
      <w:r>
        <w:rPr>
          <w:rFonts w:cs="Times New Roman"/>
          <w:vertAlign w:val="superscript"/>
        </w:rPr>
        <w:t>2</w:t>
      </w:r>
      <w:r>
        <w:rPr>
          <w:rFonts w:cs="Times New Roman"/>
        </w:rPr>
        <w:t>，设计水平年末绿化面积为</w:t>
      </w:r>
      <w:r>
        <w:rPr>
          <w:rFonts w:hint="eastAsia" w:cs="Times New Roman"/>
          <w:lang w:eastAsia="zh-CN"/>
        </w:rPr>
        <w:t>0.309</w:t>
      </w:r>
      <w:r>
        <w:rPr>
          <w:rFonts w:hint="eastAsia" w:cs="Times New Roman"/>
        </w:rPr>
        <w:t xml:space="preserve"> </w:t>
      </w:r>
      <w:r>
        <w:rPr>
          <w:rFonts w:cs="Times New Roman"/>
        </w:rPr>
        <w:t>hm</w:t>
      </w:r>
      <w:r>
        <w:rPr>
          <w:rFonts w:cs="Times New Roman"/>
          <w:vertAlign w:val="superscript"/>
        </w:rPr>
        <w:t>2</w:t>
      </w:r>
      <w:r>
        <w:rPr>
          <w:rFonts w:cs="Times New Roman"/>
        </w:rPr>
        <w:t>，植被恢复率为</w:t>
      </w:r>
      <w:r>
        <w:rPr>
          <w:rFonts w:hint="eastAsia" w:cs="Times New Roman"/>
          <w:lang w:eastAsia="zh-CN"/>
        </w:rPr>
        <w:t>99.61</w:t>
      </w:r>
      <w:r>
        <w:rPr>
          <w:rFonts w:cs="Times New Roman"/>
        </w:rPr>
        <w:t>%。经测算，覆盖率为</w:t>
      </w:r>
      <w:r>
        <w:rPr>
          <w:rFonts w:hint="eastAsia" w:cs="Times New Roman"/>
          <w:lang w:eastAsia="zh-CN"/>
        </w:rPr>
        <w:t>7.0</w:t>
      </w:r>
      <w:r>
        <w:rPr>
          <w:rFonts w:hint="eastAsia" w:cs="Times New Roman"/>
        </w:rPr>
        <w:t xml:space="preserve"> </w:t>
      </w:r>
      <w:r>
        <w:rPr>
          <w:rFonts w:cs="Times New Roman"/>
        </w:rPr>
        <w:t>%，</w:t>
      </w:r>
      <w:r>
        <w:rPr>
          <w:rFonts w:hint="eastAsia" w:cs="Times New Roman"/>
          <w:lang w:val="en-US" w:eastAsia="zh-CN"/>
        </w:rPr>
        <w:t>达到</w:t>
      </w:r>
      <w:r>
        <w:rPr>
          <w:rFonts w:cs="Times New Roman"/>
        </w:rPr>
        <w:t>方案目标值</w:t>
      </w:r>
      <w:r>
        <w:rPr>
          <w:rFonts w:hint="eastAsia" w:cs="Times New Roman"/>
        </w:rPr>
        <w:t>7</w:t>
      </w:r>
      <w:r>
        <w:rPr>
          <w:rFonts w:cs="Times New Roman"/>
        </w:rPr>
        <w:t>%。</w:t>
      </w:r>
    </w:p>
    <w:p>
      <w:pPr>
        <w:widowControl/>
        <w:spacing w:line="240" w:lineRule="auto"/>
        <w:ind w:firstLine="0" w:firstLineChars="0"/>
        <w:jc w:val="left"/>
        <w:rPr>
          <w:rFonts w:cs="Times New Roman"/>
        </w:rPr>
      </w:pPr>
      <w:r>
        <w:rPr>
          <w:rFonts w:cs="Times New Roman"/>
        </w:rPr>
        <w:br w:type="page"/>
      </w:r>
    </w:p>
    <w:p>
      <w:pPr>
        <w:pStyle w:val="2"/>
        <w:rPr>
          <w:rFonts w:cs="Times New Roman"/>
        </w:rPr>
      </w:pPr>
      <w:bookmarkStart w:id="67" w:name="_Toc5825915"/>
      <w:bookmarkStart w:id="68" w:name="_Toc2534372"/>
      <w:bookmarkStart w:id="69" w:name="_Toc29396"/>
      <w:r>
        <w:rPr>
          <w:rFonts w:cs="Times New Roman"/>
        </w:rPr>
        <w:t>土壤流失情况监测</w:t>
      </w:r>
      <w:bookmarkEnd w:id="67"/>
      <w:bookmarkEnd w:id="68"/>
      <w:bookmarkEnd w:id="69"/>
    </w:p>
    <w:p>
      <w:pPr>
        <w:pStyle w:val="3"/>
        <w:rPr>
          <w:rFonts w:ascii="Times New Roman" w:hAnsi="Times New Roman" w:cs="Times New Roman"/>
        </w:rPr>
      </w:pPr>
      <w:bookmarkStart w:id="70" w:name="_Toc533666034"/>
      <w:bookmarkStart w:id="71" w:name="_Toc5825916"/>
      <w:bookmarkStart w:id="72" w:name="_Toc2170"/>
      <w:bookmarkStart w:id="73" w:name="_Toc2534373"/>
      <w:r>
        <w:rPr>
          <w:rFonts w:ascii="Times New Roman" w:hAnsi="Times New Roman" w:cs="Times New Roman"/>
        </w:rPr>
        <w:t>水土流失面积</w:t>
      </w:r>
      <w:bookmarkEnd w:id="70"/>
      <w:bookmarkEnd w:id="71"/>
      <w:bookmarkEnd w:id="72"/>
      <w:bookmarkEnd w:id="73"/>
    </w:p>
    <w:p>
      <w:pPr>
        <w:ind w:firstLine="480"/>
        <w:rPr>
          <w:rFonts w:cs="Times New Roman"/>
          <w:lang w:val="zh-CN"/>
        </w:rPr>
      </w:pPr>
      <w:r>
        <w:rPr>
          <w:rFonts w:cs="Times New Roman"/>
          <w:lang w:val="zh-CN"/>
        </w:rPr>
        <w:t>（1）施工准备期</w:t>
      </w:r>
    </w:p>
    <w:p>
      <w:pPr>
        <w:ind w:firstLine="480"/>
        <w:rPr>
          <w:rFonts w:cs="Times New Roman"/>
          <w:lang w:val="zh-CN"/>
        </w:rPr>
      </w:pPr>
      <w:r>
        <w:rPr>
          <w:rFonts w:cs="Times New Roman"/>
          <w:lang w:val="zh-CN"/>
        </w:rPr>
        <w:t>从收集的工程施工组织设计资料分析，本工程施工准备较短，主要是确定施工单位、招投标以及材料购买等，基本不会扰动地表，因此施工准备期项目区全部处于自然侵蚀，无加速水土流失面积。</w:t>
      </w:r>
    </w:p>
    <w:p>
      <w:pPr>
        <w:ind w:firstLine="480"/>
        <w:rPr>
          <w:rFonts w:cs="Times New Roman"/>
          <w:lang w:val="zh-CN"/>
        </w:rPr>
      </w:pPr>
      <w:r>
        <w:rPr>
          <w:rFonts w:cs="Times New Roman"/>
          <w:lang w:val="zh-CN"/>
        </w:rPr>
        <w:t>（2）施工期</w:t>
      </w:r>
    </w:p>
    <w:p>
      <w:pPr>
        <w:ind w:firstLine="480"/>
        <w:rPr>
          <w:rFonts w:cs="Times New Roman"/>
          <w:color w:val="FF0000"/>
          <w:lang w:val="zh-CN"/>
        </w:rPr>
      </w:pPr>
      <w:r>
        <w:rPr>
          <w:rFonts w:cs="Times New Roman"/>
        </w:rPr>
        <w:t>本工程施工期从</w:t>
      </w:r>
      <w:r>
        <w:rPr>
          <w:rFonts w:hint="eastAsia" w:cs="Times New Roman"/>
          <w:lang w:eastAsia="zh-CN"/>
        </w:rPr>
        <w:t>2016年9月</w:t>
      </w:r>
      <w:r>
        <w:rPr>
          <w:rFonts w:cs="Times New Roman"/>
        </w:rPr>
        <w:t>~</w:t>
      </w:r>
      <w:r>
        <w:rPr>
          <w:rFonts w:hint="eastAsia" w:cs="Times New Roman"/>
          <w:lang w:eastAsia="zh-CN"/>
        </w:rPr>
        <w:t>2017年9月</w:t>
      </w:r>
      <w:r>
        <w:rPr>
          <w:rFonts w:cs="Times New Roman"/>
        </w:rPr>
        <w:t>，施工期</w:t>
      </w:r>
      <w:r>
        <w:rPr>
          <w:rFonts w:hint="eastAsia" w:cs="Times New Roman"/>
          <w:lang w:eastAsia="zh-CN"/>
        </w:rPr>
        <w:t>13个月</w:t>
      </w:r>
      <w:r>
        <w:rPr>
          <w:rFonts w:cs="Times New Roman"/>
        </w:rPr>
        <w:t>。通过施工过程控制资料资料监理记录资料、影像资料及现场调查，本工程施工期的水土流失面积为</w:t>
      </w:r>
      <w:r>
        <w:rPr>
          <w:rFonts w:hint="eastAsia" w:cs="Times New Roman"/>
          <w:lang w:eastAsia="zh-CN"/>
        </w:rPr>
        <w:t>4.45</w:t>
      </w:r>
      <w:r>
        <w:rPr>
          <w:rFonts w:hint="eastAsia" w:cs="Times New Roman"/>
        </w:rPr>
        <w:t xml:space="preserve"> </w:t>
      </w:r>
      <w:r>
        <w:rPr>
          <w:rFonts w:cs="Times New Roman"/>
        </w:rPr>
        <w:t>hm</w:t>
      </w:r>
      <w:r>
        <w:rPr>
          <w:rFonts w:cs="Times New Roman"/>
          <w:vertAlign w:val="superscript"/>
        </w:rPr>
        <w:t>2</w:t>
      </w:r>
      <w:r>
        <w:rPr>
          <w:rFonts w:cs="Times New Roman"/>
        </w:rPr>
        <w:t>。</w:t>
      </w:r>
    </w:p>
    <w:p>
      <w:pPr>
        <w:ind w:firstLine="480"/>
        <w:rPr>
          <w:rFonts w:cs="Times New Roman"/>
        </w:rPr>
      </w:pPr>
      <w:r>
        <w:rPr>
          <w:rFonts w:cs="Times New Roman"/>
          <w:lang w:val="zh-CN"/>
        </w:rPr>
        <w:t>（3）</w:t>
      </w:r>
      <w:r>
        <w:rPr>
          <w:rFonts w:hint="eastAsia" w:cs="Times New Roman"/>
        </w:rPr>
        <w:t>试运行期</w:t>
      </w:r>
    </w:p>
    <w:p>
      <w:pPr>
        <w:ind w:firstLine="480"/>
        <w:rPr>
          <w:rFonts w:cs="Times New Roman"/>
          <w:color w:val="FF0000"/>
          <w:lang w:val="zh-CN"/>
        </w:rPr>
      </w:pPr>
      <w:r>
        <w:rPr>
          <w:rFonts w:hint="eastAsia" w:cs="Times New Roman"/>
        </w:rPr>
        <w:t>截至目前，本项目水土保持设施已全部完工并投入使用，项目</w:t>
      </w:r>
      <w:r>
        <w:rPr>
          <w:rFonts w:cs="Times New Roman"/>
        </w:rPr>
        <w:t>地表硬化、排水沟等基本不会产生水土流失，因此，</w:t>
      </w:r>
      <w:r>
        <w:rPr>
          <w:rFonts w:hint="eastAsia" w:cs="Times New Roman"/>
        </w:rPr>
        <w:t>试运行期</w:t>
      </w:r>
      <w:r>
        <w:rPr>
          <w:rFonts w:cs="Times New Roman"/>
        </w:rPr>
        <w:t>水土流失区域主要为可实施植物措施的区域。</w:t>
      </w:r>
      <w:r>
        <w:rPr>
          <w:rFonts w:hint="eastAsia" w:cs="Times New Roman"/>
        </w:rPr>
        <w:t>建设期</w:t>
      </w:r>
      <w:r>
        <w:rPr>
          <w:rFonts w:cs="Times New Roman"/>
        </w:rPr>
        <w:t>的水土流失面积为</w:t>
      </w:r>
      <w:r>
        <w:rPr>
          <w:rFonts w:hint="eastAsia" w:cs="Times New Roman"/>
          <w:lang w:eastAsia="zh-CN"/>
        </w:rPr>
        <w:t>0.32</w:t>
      </w:r>
      <w:r>
        <w:rPr>
          <w:rFonts w:hint="eastAsia" w:cs="Times New Roman"/>
        </w:rPr>
        <w:t xml:space="preserve"> </w:t>
      </w:r>
      <w:r>
        <w:rPr>
          <w:rFonts w:cs="Times New Roman"/>
        </w:rPr>
        <w:t>hm</w:t>
      </w:r>
      <w:r>
        <w:rPr>
          <w:rFonts w:cs="Times New Roman"/>
          <w:vertAlign w:val="superscript"/>
        </w:rPr>
        <w:t>2</w:t>
      </w:r>
      <w:r>
        <w:rPr>
          <w:rFonts w:cs="Times New Roman"/>
        </w:rPr>
        <w:t>。</w:t>
      </w:r>
    </w:p>
    <w:p>
      <w:pPr>
        <w:pStyle w:val="3"/>
        <w:rPr>
          <w:rFonts w:ascii="Times New Roman" w:hAnsi="Times New Roman" w:cs="Times New Roman"/>
        </w:rPr>
      </w:pPr>
      <w:bookmarkStart w:id="74" w:name="_Toc4232"/>
      <w:bookmarkStart w:id="75" w:name="_Toc2534374"/>
      <w:bookmarkStart w:id="76" w:name="_Toc5825917"/>
      <w:r>
        <w:rPr>
          <w:rFonts w:ascii="Times New Roman" w:hAnsi="Times New Roman" w:cs="Times New Roman"/>
        </w:rPr>
        <w:t>土壤流失量</w:t>
      </w:r>
      <w:bookmarkEnd w:id="74"/>
      <w:bookmarkEnd w:id="75"/>
      <w:bookmarkEnd w:id="76"/>
    </w:p>
    <w:p>
      <w:pPr>
        <w:ind w:firstLine="480"/>
        <w:rPr>
          <w:rFonts w:cs="Times New Roman"/>
          <w:lang w:val="zh-CN"/>
        </w:rPr>
      </w:pPr>
      <w:r>
        <w:rPr>
          <w:rFonts w:cs="Times New Roman"/>
          <w:lang w:val="zh-CN"/>
        </w:rPr>
        <w:t>本工程施工期间的土壤流失量主要通过</w:t>
      </w:r>
      <w:r>
        <w:rPr>
          <w:rFonts w:cs="Times New Roman"/>
        </w:rPr>
        <w:t>调查监测获得。</w:t>
      </w:r>
    </w:p>
    <w:p>
      <w:pPr>
        <w:ind w:firstLine="480"/>
        <w:rPr>
          <w:rFonts w:cs="Times New Roman"/>
          <w:lang w:val="zh-CN"/>
        </w:rPr>
      </w:pPr>
      <w:r>
        <w:rPr>
          <w:rFonts w:cs="Times New Roman"/>
          <w:lang w:val="zh-CN"/>
        </w:rPr>
        <w:t>经查阅资料及数据分析，工程占地面积为</w:t>
      </w:r>
      <w:r>
        <w:rPr>
          <w:rFonts w:hint="eastAsia" w:cs="Times New Roman"/>
          <w:lang w:val="zh-CN"/>
        </w:rPr>
        <w:t xml:space="preserve">4.45 </w:t>
      </w:r>
      <w:r>
        <w:rPr>
          <w:rFonts w:cs="Times New Roman"/>
          <w:lang w:val="zh-CN"/>
        </w:rPr>
        <w:t>hm</w:t>
      </w:r>
      <w:r>
        <w:rPr>
          <w:rFonts w:cs="Times New Roman"/>
          <w:vertAlign w:val="superscript"/>
          <w:lang w:val="zh-CN"/>
        </w:rPr>
        <w:t>2</w:t>
      </w:r>
      <w:r>
        <w:rPr>
          <w:rFonts w:cs="Times New Roman"/>
          <w:lang w:val="zh-CN"/>
        </w:rPr>
        <w:t>，水土流失面积为</w:t>
      </w:r>
      <w:r>
        <w:rPr>
          <w:rFonts w:hint="eastAsia" w:cs="Times New Roman"/>
          <w:lang w:eastAsia="zh-CN"/>
        </w:rPr>
        <w:t>0.32</w:t>
      </w:r>
      <w:r>
        <w:rPr>
          <w:rFonts w:hint="eastAsia" w:cs="Times New Roman"/>
        </w:rPr>
        <w:t xml:space="preserve"> </w:t>
      </w:r>
      <w:r>
        <w:rPr>
          <w:rFonts w:cs="Times New Roman"/>
          <w:lang w:val="zh-CN"/>
        </w:rPr>
        <w:t>hm</w:t>
      </w:r>
      <w:r>
        <w:rPr>
          <w:rFonts w:cs="Times New Roman"/>
          <w:vertAlign w:val="superscript"/>
          <w:lang w:val="zh-CN"/>
        </w:rPr>
        <w:t>2</w:t>
      </w:r>
      <w:r>
        <w:rPr>
          <w:rFonts w:cs="Times New Roman"/>
          <w:lang w:val="zh-CN"/>
        </w:rPr>
        <w:t>，原地貌土壤平均侵蚀模数为</w:t>
      </w:r>
      <w:r>
        <w:rPr>
          <w:rFonts w:hint="eastAsia" w:cs="Times New Roman"/>
          <w:lang w:eastAsia="zh-CN"/>
        </w:rPr>
        <w:t>1389</w:t>
      </w:r>
      <w:r>
        <w:rPr>
          <w:rFonts w:cs="Times New Roman"/>
          <w:lang w:val="zh-CN"/>
        </w:rPr>
        <w:t>t/（km</w:t>
      </w:r>
      <w:r>
        <w:rPr>
          <w:rFonts w:cs="Times New Roman"/>
          <w:vertAlign w:val="superscript"/>
          <w:lang w:val="zh-CN"/>
        </w:rPr>
        <w:t>2</w:t>
      </w:r>
      <w:r>
        <w:rPr>
          <w:rFonts w:cs="Times New Roman"/>
          <w:lang w:val="zh-CN"/>
        </w:rPr>
        <w:t>•a）。</w:t>
      </w:r>
    </w:p>
    <w:p>
      <w:pPr>
        <w:pStyle w:val="24"/>
        <w:rPr>
          <w:rFonts w:cs="Times New Roman"/>
          <w:lang w:val="zh-CN"/>
        </w:rPr>
      </w:pPr>
      <w:r>
        <w:rPr>
          <w:rFonts w:cs="Times New Roman"/>
          <w:lang w:val="zh-CN"/>
        </w:rPr>
        <w:t>表5.2-1 各</w:t>
      </w:r>
      <w:r>
        <w:rPr>
          <w:rFonts w:hint="eastAsia" w:cs="Times New Roman"/>
          <w:lang w:val="zh-CN"/>
        </w:rPr>
        <w:t>分区</w:t>
      </w:r>
      <w:r>
        <w:rPr>
          <w:rFonts w:cs="Times New Roman"/>
          <w:lang w:val="zh-CN"/>
        </w:rPr>
        <w:t>水土流失详情</w:t>
      </w:r>
    </w:p>
    <w:tbl>
      <w:tblPr>
        <w:tblStyle w:val="13"/>
        <w:tblW w:w="4998"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1817"/>
        <w:gridCol w:w="1819"/>
        <w:gridCol w:w="1820"/>
        <w:gridCol w:w="1820"/>
        <w:gridCol w:w="1820"/>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999" w:type="pct"/>
            <w:tcBorders>
              <w:tl2br w:val="nil"/>
              <w:tr2bl w:val="nil"/>
            </w:tcBorders>
            <w:shd w:val="clear" w:color="auto" w:fill="auto"/>
            <w:tcMar>
              <w:top w:w="15" w:type="dxa"/>
              <w:left w:w="15" w:type="dxa"/>
              <w:right w:w="15" w:type="dxa"/>
            </w:tcMar>
            <w:vAlign w:val="center"/>
          </w:tcPr>
          <w:p>
            <w:pPr>
              <w:pStyle w:val="23"/>
            </w:pPr>
            <w:r>
              <w:t>序号</w:t>
            </w:r>
          </w:p>
        </w:tc>
        <w:tc>
          <w:tcPr>
            <w:tcW w:w="1000" w:type="pct"/>
            <w:tcBorders>
              <w:tl2br w:val="nil"/>
              <w:tr2bl w:val="nil"/>
            </w:tcBorders>
            <w:shd w:val="clear" w:color="auto" w:fill="auto"/>
            <w:tcMar>
              <w:top w:w="15" w:type="dxa"/>
              <w:left w:w="15" w:type="dxa"/>
              <w:right w:w="15" w:type="dxa"/>
            </w:tcMar>
            <w:vAlign w:val="center"/>
          </w:tcPr>
          <w:p>
            <w:pPr>
              <w:pStyle w:val="23"/>
            </w:pPr>
            <w:r>
              <w:t>防治分区</w:t>
            </w:r>
          </w:p>
        </w:tc>
        <w:tc>
          <w:tcPr>
            <w:tcW w:w="1000" w:type="pct"/>
            <w:tcBorders>
              <w:tl2br w:val="nil"/>
              <w:tr2bl w:val="nil"/>
            </w:tcBorders>
            <w:shd w:val="clear" w:color="auto" w:fill="auto"/>
            <w:tcMar>
              <w:top w:w="15" w:type="dxa"/>
              <w:left w:w="15" w:type="dxa"/>
              <w:right w:w="15" w:type="dxa"/>
            </w:tcMar>
            <w:vAlign w:val="center"/>
          </w:tcPr>
          <w:p>
            <w:pPr>
              <w:pStyle w:val="23"/>
            </w:pPr>
            <w:r>
              <w:t>项目建设区(hm</w:t>
            </w:r>
            <w:r>
              <w:rPr>
                <w:vertAlign w:val="superscript"/>
              </w:rPr>
              <w:t>2</w:t>
            </w:r>
            <w:r>
              <w:t>)</w:t>
            </w:r>
          </w:p>
        </w:tc>
        <w:tc>
          <w:tcPr>
            <w:tcW w:w="1000" w:type="pct"/>
            <w:tcBorders>
              <w:tl2br w:val="nil"/>
              <w:tr2bl w:val="nil"/>
            </w:tcBorders>
            <w:shd w:val="clear" w:color="auto" w:fill="auto"/>
            <w:tcMar>
              <w:top w:w="15" w:type="dxa"/>
              <w:left w:w="15" w:type="dxa"/>
              <w:right w:w="15" w:type="dxa"/>
            </w:tcMar>
            <w:vAlign w:val="center"/>
          </w:tcPr>
          <w:p>
            <w:pPr>
              <w:pStyle w:val="23"/>
            </w:pPr>
            <w:r>
              <w:rPr>
                <w:rFonts w:hint="eastAsia"/>
              </w:rPr>
              <w:t>治理后土壤流失量（</w:t>
            </w:r>
            <w:r>
              <w:t>t/km</w:t>
            </w:r>
            <w:r>
              <w:rPr>
                <w:vertAlign w:val="superscript"/>
              </w:rPr>
              <w:t>2</w:t>
            </w:r>
            <w:r>
              <w:t>.a）</w:t>
            </w:r>
          </w:p>
        </w:tc>
        <w:tc>
          <w:tcPr>
            <w:tcW w:w="1000" w:type="pct"/>
            <w:tcBorders>
              <w:tl2br w:val="nil"/>
              <w:tr2bl w:val="nil"/>
            </w:tcBorders>
            <w:shd w:val="clear" w:color="auto" w:fill="auto"/>
            <w:tcMar>
              <w:top w:w="15" w:type="dxa"/>
              <w:left w:w="15" w:type="dxa"/>
              <w:right w:w="15" w:type="dxa"/>
            </w:tcMar>
            <w:vAlign w:val="center"/>
          </w:tcPr>
          <w:p>
            <w:pPr>
              <w:pStyle w:val="23"/>
            </w:pPr>
            <w:r>
              <w:t>容许土壤侵蚀模数（t/km</w:t>
            </w:r>
            <w:r>
              <w:rPr>
                <w:vertAlign w:val="superscript"/>
              </w:rPr>
              <w:t>2</w:t>
            </w:r>
            <w:r>
              <w:t>.a）</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999" w:type="pct"/>
            <w:tcBorders>
              <w:tl2br w:val="nil"/>
              <w:tr2bl w:val="nil"/>
            </w:tcBorders>
            <w:shd w:val="clear" w:color="auto" w:fill="auto"/>
            <w:noWrap/>
            <w:tcMar>
              <w:top w:w="15" w:type="dxa"/>
              <w:left w:w="15" w:type="dxa"/>
              <w:right w:w="15" w:type="dxa"/>
            </w:tcMar>
            <w:vAlign w:val="center"/>
          </w:tcPr>
          <w:p>
            <w:pPr>
              <w:pStyle w:val="23"/>
            </w:pPr>
            <w:r>
              <w:t>1</w:t>
            </w:r>
          </w:p>
        </w:tc>
        <w:tc>
          <w:tcPr>
            <w:tcW w:w="1000" w:type="pct"/>
            <w:tcBorders>
              <w:tl2br w:val="nil"/>
              <w:tr2bl w:val="nil"/>
            </w:tcBorders>
            <w:shd w:val="clear" w:color="auto" w:fill="auto"/>
            <w:tcMar>
              <w:top w:w="15" w:type="dxa"/>
              <w:left w:w="15" w:type="dxa"/>
              <w:right w:w="15" w:type="dxa"/>
            </w:tcMar>
            <w:vAlign w:val="center"/>
          </w:tcPr>
          <w:p>
            <w:pPr>
              <w:pStyle w:val="23"/>
            </w:pPr>
            <w:r>
              <w:t>主体工程区</w:t>
            </w:r>
          </w:p>
        </w:tc>
        <w:tc>
          <w:tcPr>
            <w:tcW w:w="1000" w:type="pct"/>
            <w:tcBorders>
              <w:tl2br w:val="nil"/>
              <w:tr2bl w:val="nil"/>
            </w:tcBorders>
            <w:shd w:val="clear" w:color="auto" w:fill="auto"/>
            <w:tcMar>
              <w:top w:w="15" w:type="dxa"/>
              <w:left w:w="15" w:type="dxa"/>
              <w:right w:w="15" w:type="dxa"/>
            </w:tcMar>
            <w:vAlign w:val="center"/>
          </w:tcPr>
          <w:p>
            <w:pPr>
              <w:pStyle w:val="23"/>
              <w:bidi w:val="0"/>
              <w:rPr>
                <w:rFonts w:hint="eastAsia"/>
                <w:lang w:eastAsia="zh-CN"/>
              </w:rPr>
            </w:pPr>
            <w:r>
              <w:rPr>
                <w:rFonts w:hint="default"/>
                <w:lang w:val="en-US" w:eastAsia="zh-CN"/>
              </w:rPr>
              <w:t>2.77</w:t>
            </w:r>
          </w:p>
        </w:tc>
        <w:tc>
          <w:tcPr>
            <w:tcW w:w="1000" w:type="pct"/>
            <w:tcBorders>
              <w:tl2br w:val="nil"/>
              <w:tr2bl w:val="nil"/>
            </w:tcBorders>
            <w:shd w:val="clear" w:color="auto" w:fill="auto"/>
            <w:tcMar>
              <w:top w:w="15" w:type="dxa"/>
              <w:left w:w="15" w:type="dxa"/>
              <w:right w:w="15" w:type="dxa"/>
            </w:tcMar>
            <w:vAlign w:val="center"/>
          </w:tcPr>
          <w:p>
            <w:pPr>
              <w:pStyle w:val="23"/>
              <w:bidi w:val="0"/>
            </w:pPr>
            <w:r>
              <w:rPr>
                <w:rFonts w:hint="default"/>
                <w:lang w:val="en-US" w:eastAsia="zh-CN"/>
              </w:rPr>
              <w:t>400</w:t>
            </w:r>
          </w:p>
        </w:tc>
        <w:tc>
          <w:tcPr>
            <w:tcW w:w="1000" w:type="pct"/>
            <w:tcBorders>
              <w:tl2br w:val="nil"/>
              <w:tr2bl w:val="nil"/>
            </w:tcBorders>
            <w:shd w:val="clear" w:color="auto" w:fill="auto"/>
            <w:noWrap/>
            <w:tcMar>
              <w:top w:w="15" w:type="dxa"/>
              <w:left w:w="15" w:type="dxa"/>
              <w:right w:w="15" w:type="dxa"/>
            </w:tcMar>
            <w:vAlign w:val="top"/>
          </w:tcPr>
          <w:p>
            <w:pPr>
              <w:pStyle w:val="23"/>
              <w:bidi w:val="0"/>
            </w:pPr>
            <w:r>
              <w:rPr>
                <w:rFonts w:hint="default"/>
                <w:lang w:val="en-US" w:eastAsia="zh-CN"/>
              </w:rPr>
              <w:t>500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999" w:type="pct"/>
            <w:tcBorders>
              <w:tl2br w:val="nil"/>
              <w:tr2bl w:val="nil"/>
            </w:tcBorders>
            <w:shd w:val="clear" w:color="auto" w:fill="auto"/>
            <w:noWrap/>
            <w:tcMar>
              <w:top w:w="15" w:type="dxa"/>
              <w:left w:w="15" w:type="dxa"/>
              <w:right w:w="15" w:type="dxa"/>
            </w:tcMar>
            <w:vAlign w:val="center"/>
          </w:tcPr>
          <w:p>
            <w:pPr>
              <w:pStyle w:val="23"/>
            </w:pPr>
            <w:r>
              <w:t>2</w:t>
            </w:r>
          </w:p>
        </w:tc>
        <w:tc>
          <w:tcPr>
            <w:tcW w:w="1000" w:type="pct"/>
            <w:tcBorders>
              <w:tl2br w:val="nil"/>
              <w:tr2bl w:val="nil"/>
            </w:tcBorders>
            <w:shd w:val="clear" w:color="auto" w:fill="auto"/>
            <w:tcMar>
              <w:top w:w="15" w:type="dxa"/>
              <w:left w:w="15" w:type="dxa"/>
              <w:right w:w="15" w:type="dxa"/>
            </w:tcMar>
            <w:vAlign w:val="center"/>
          </w:tcPr>
          <w:p>
            <w:pPr>
              <w:pStyle w:val="23"/>
            </w:pPr>
            <w:r>
              <w:t>施工场地区</w:t>
            </w:r>
          </w:p>
        </w:tc>
        <w:tc>
          <w:tcPr>
            <w:tcW w:w="1000" w:type="pct"/>
            <w:tcBorders>
              <w:tl2br w:val="nil"/>
              <w:tr2bl w:val="nil"/>
            </w:tcBorders>
            <w:shd w:val="clear" w:color="auto" w:fill="auto"/>
            <w:tcMar>
              <w:top w:w="15" w:type="dxa"/>
              <w:left w:w="15" w:type="dxa"/>
              <w:right w:w="15" w:type="dxa"/>
            </w:tcMar>
            <w:vAlign w:val="center"/>
          </w:tcPr>
          <w:p>
            <w:pPr>
              <w:pStyle w:val="23"/>
              <w:bidi w:val="0"/>
            </w:pPr>
            <w:r>
              <w:rPr>
                <w:rFonts w:hint="default"/>
                <w:lang w:val="en-US" w:eastAsia="zh-CN"/>
              </w:rPr>
              <w:t>1.47</w:t>
            </w:r>
          </w:p>
        </w:tc>
        <w:tc>
          <w:tcPr>
            <w:tcW w:w="1000" w:type="pct"/>
            <w:tcBorders>
              <w:tl2br w:val="nil"/>
              <w:tr2bl w:val="nil"/>
            </w:tcBorders>
            <w:shd w:val="clear" w:color="auto" w:fill="auto"/>
            <w:tcMar>
              <w:top w:w="15" w:type="dxa"/>
              <w:left w:w="15" w:type="dxa"/>
              <w:right w:w="15" w:type="dxa"/>
            </w:tcMar>
            <w:vAlign w:val="center"/>
          </w:tcPr>
          <w:p>
            <w:pPr>
              <w:pStyle w:val="23"/>
              <w:bidi w:val="0"/>
            </w:pPr>
            <w:r>
              <w:rPr>
                <w:rFonts w:hint="default"/>
                <w:lang w:val="en-US" w:eastAsia="zh-CN"/>
              </w:rPr>
              <w:t>412</w:t>
            </w:r>
          </w:p>
        </w:tc>
        <w:tc>
          <w:tcPr>
            <w:tcW w:w="1000" w:type="pct"/>
            <w:tcBorders>
              <w:tl2br w:val="nil"/>
              <w:tr2bl w:val="nil"/>
            </w:tcBorders>
            <w:shd w:val="clear" w:color="auto" w:fill="auto"/>
            <w:noWrap/>
            <w:tcMar>
              <w:top w:w="15" w:type="dxa"/>
              <w:left w:w="15" w:type="dxa"/>
              <w:right w:w="15" w:type="dxa"/>
            </w:tcMar>
            <w:vAlign w:val="top"/>
          </w:tcPr>
          <w:p>
            <w:pPr>
              <w:pStyle w:val="23"/>
              <w:bidi w:val="0"/>
            </w:pPr>
            <w:r>
              <w:rPr>
                <w:rFonts w:hint="default"/>
                <w:lang w:val="en-US" w:eastAsia="zh-CN"/>
              </w:rPr>
              <w:t>500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999" w:type="pct"/>
            <w:tcBorders>
              <w:tl2br w:val="nil"/>
              <w:tr2bl w:val="nil"/>
            </w:tcBorders>
            <w:shd w:val="clear" w:color="auto" w:fill="auto"/>
            <w:noWrap/>
            <w:tcMar>
              <w:top w:w="15" w:type="dxa"/>
              <w:left w:w="15" w:type="dxa"/>
              <w:right w:w="15" w:type="dxa"/>
            </w:tcMar>
            <w:vAlign w:val="center"/>
          </w:tcPr>
          <w:p>
            <w:pPr>
              <w:pStyle w:val="23"/>
            </w:pPr>
            <w:r>
              <w:t>3</w:t>
            </w:r>
          </w:p>
        </w:tc>
        <w:tc>
          <w:tcPr>
            <w:tcW w:w="1000" w:type="pct"/>
            <w:tcBorders>
              <w:tl2br w:val="nil"/>
              <w:tr2bl w:val="nil"/>
            </w:tcBorders>
            <w:shd w:val="clear" w:color="auto" w:fill="auto"/>
            <w:tcMar>
              <w:top w:w="15" w:type="dxa"/>
              <w:left w:w="15" w:type="dxa"/>
              <w:right w:w="15" w:type="dxa"/>
            </w:tcMar>
            <w:vAlign w:val="center"/>
          </w:tcPr>
          <w:p>
            <w:pPr>
              <w:pStyle w:val="23"/>
              <w:rPr>
                <w:rFonts w:hint="eastAsia" w:eastAsia="仿宋"/>
                <w:lang w:eastAsia="zh-CN"/>
              </w:rPr>
            </w:pPr>
            <w:r>
              <w:rPr>
                <w:rFonts w:hint="eastAsia"/>
                <w:lang w:eastAsia="zh-CN"/>
              </w:rPr>
              <w:t>绿化防治区</w:t>
            </w:r>
          </w:p>
        </w:tc>
        <w:tc>
          <w:tcPr>
            <w:tcW w:w="1000" w:type="pct"/>
            <w:tcBorders>
              <w:tl2br w:val="nil"/>
              <w:tr2bl w:val="nil"/>
            </w:tcBorders>
            <w:shd w:val="clear" w:color="auto" w:fill="auto"/>
            <w:tcMar>
              <w:top w:w="15" w:type="dxa"/>
              <w:left w:w="15" w:type="dxa"/>
              <w:right w:w="15" w:type="dxa"/>
            </w:tcMar>
            <w:vAlign w:val="center"/>
          </w:tcPr>
          <w:p>
            <w:pPr>
              <w:pStyle w:val="23"/>
              <w:bidi w:val="0"/>
            </w:pPr>
            <w:r>
              <w:rPr>
                <w:rFonts w:hint="default"/>
                <w:lang w:val="en-US" w:eastAsia="zh-CN"/>
              </w:rPr>
              <w:t>0.21</w:t>
            </w:r>
          </w:p>
        </w:tc>
        <w:tc>
          <w:tcPr>
            <w:tcW w:w="1000" w:type="pct"/>
            <w:tcBorders>
              <w:tl2br w:val="nil"/>
              <w:tr2bl w:val="nil"/>
            </w:tcBorders>
            <w:shd w:val="clear" w:color="auto" w:fill="auto"/>
            <w:tcMar>
              <w:top w:w="15" w:type="dxa"/>
              <w:left w:w="15" w:type="dxa"/>
              <w:right w:w="15" w:type="dxa"/>
            </w:tcMar>
            <w:vAlign w:val="center"/>
          </w:tcPr>
          <w:p>
            <w:pPr>
              <w:pStyle w:val="23"/>
              <w:bidi w:val="0"/>
            </w:pPr>
            <w:r>
              <w:rPr>
                <w:rFonts w:hint="default"/>
                <w:lang w:val="en-US" w:eastAsia="zh-CN"/>
              </w:rPr>
              <w:t>478</w:t>
            </w:r>
          </w:p>
        </w:tc>
        <w:tc>
          <w:tcPr>
            <w:tcW w:w="1000" w:type="pct"/>
            <w:tcBorders>
              <w:tl2br w:val="nil"/>
              <w:tr2bl w:val="nil"/>
            </w:tcBorders>
            <w:shd w:val="clear" w:color="auto" w:fill="auto"/>
            <w:noWrap/>
            <w:tcMar>
              <w:top w:w="15" w:type="dxa"/>
              <w:left w:w="15" w:type="dxa"/>
              <w:right w:w="15" w:type="dxa"/>
            </w:tcMar>
            <w:vAlign w:val="top"/>
          </w:tcPr>
          <w:p>
            <w:pPr>
              <w:pStyle w:val="23"/>
              <w:bidi w:val="0"/>
            </w:pPr>
            <w:r>
              <w:rPr>
                <w:rFonts w:hint="default"/>
                <w:lang w:val="en-US" w:eastAsia="zh-CN"/>
              </w:rPr>
              <w:t>500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1999" w:type="pct"/>
            <w:gridSpan w:val="2"/>
            <w:tcBorders>
              <w:tl2br w:val="nil"/>
              <w:tr2bl w:val="nil"/>
            </w:tcBorders>
            <w:shd w:val="clear" w:color="auto" w:fill="auto"/>
            <w:tcMar>
              <w:top w:w="15" w:type="dxa"/>
              <w:left w:w="15" w:type="dxa"/>
              <w:right w:w="15" w:type="dxa"/>
            </w:tcMar>
            <w:vAlign w:val="center"/>
          </w:tcPr>
          <w:p>
            <w:pPr>
              <w:pStyle w:val="23"/>
            </w:pPr>
            <w:r>
              <w:rPr>
                <w:rFonts w:hint="eastAsia"/>
              </w:rPr>
              <w:t>平均值</w:t>
            </w:r>
          </w:p>
        </w:tc>
        <w:tc>
          <w:tcPr>
            <w:tcW w:w="1000" w:type="pct"/>
            <w:tcBorders>
              <w:tl2br w:val="nil"/>
              <w:tr2bl w:val="nil"/>
            </w:tcBorders>
            <w:shd w:val="clear" w:color="auto" w:fill="auto"/>
            <w:noWrap/>
            <w:tcMar>
              <w:top w:w="15" w:type="dxa"/>
              <w:left w:w="15" w:type="dxa"/>
              <w:right w:w="15" w:type="dxa"/>
            </w:tcMar>
            <w:vAlign w:val="center"/>
          </w:tcPr>
          <w:p>
            <w:pPr>
              <w:pStyle w:val="23"/>
              <w:bidi w:val="0"/>
              <w:rPr>
                <w:rFonts w:hint="eastAsia"/>
                <w:lang w:eastAsia="zh-CN"/>
              </w:rPr>
            </w:pPr>
            <w:r>
              <w:rPr>
                <w:rFonts w:hint="eastAsia"/>
                <w:lang w:val="en-US" w:eastAsia="zh-CN"/>
              </w:rPr>
              <w:t>4.45</w:t>
            </w:r>
          </w:p>
        </w:tc>
        <w:tc>
          <w:tcPr>
            <w:tcW w:w="1000" w:type="pct"/>
            <w:tcBorders>
              <w:tl2br w:val="nil"/>
              <w:tr2bl w:val="nil"/>
            </w:tcBorders>
            <w:shd w:val="clear" w:color="auto" w:fill="auto"/>
            <w:tcMar>
              <w:top w:w="15" w:type="dxa"/>
              <w:left w:w="15" w:type="dxa"/>
              <w:right w:w="15" w:type="dxa"/>
            </w:tcMar>
            <w:vAlign w:val="center"/>
          </w:tcPr>
          <w:p>
            <w:pPr>
              <w:pStyle w:val="23"/>
              <w:bidi w:val="0"/>
            </w:pPr>
            <w:r>
              <w:rPr>
                <w:rFonts w:hint="default"/>
                <w:lang w:val="en-US" w:eastAsia="zh-CN"/>
              </w:rPr>
              <w:t xml:space="preserve">408 </w:t>
            </w:r>
          </w:p>
        </w:tc>
        <w:tc>
          <w:tcPr>
            <w:tcW w:w="1000" w:type="pct"/>
            <w:tcBorders>
              <w:tl2br w:val="nil"/>
              <w:tr2bl w:val="nil"/>
            </w:tcBorders>
            <w:shd w:val="clear" w:color="auto" w:fill="auto"/>
            <w:noWrap/>
            <w:tcMar>
              <w:top w:w="15" w:type="dxa"/>
              <w:left w:w="15" w:type="dxa"/>
              <w:right w:w="15" w:type="dxa"/>
            </w:tcMar>
            <w:vAlign w:val="top"/>
          </w:tcPr>
          <w:p>
            <w:pPr>
              <w:pStyle w:val="23"/>
              <w:bidi w:val="0"/>
            </w:pPr>
            <w:r>
              <w:rPr>
                <w:rFonts w:hint="default"/>
                <w:lang w:val="en-US" w:eastAsia="zh-CN"/>
              </w:rPr>
              <w:t>500</w:t>
            </w:r>
          </w:p>
        </w:tc>
      </w:tr>
    </w:tbl>
    <w:p>
      <w:pPr>
        <w:ind w:firstLine="480"/>
        <w:rPr>
          <w:rFonts w:cs="Times New Roman"/>
          <w:lang w:val="zh-CN"/>
        </w:rPr>
      </w:pPr>
      <w:r>
        <w:rPr>
          <w:rFonts w:hint="eastAsia" w:cs="Times New Roman"/>
        </w:rPr>
        <w:t>根据现场调查，工程在扰动期间土壤侵蚀量比较大，但由于这些部位在扰动结束后进行了治理，以及植被的逐渐恢复，后期土壤侵蚀量相比前期而言大幅度降低。根据项目区水土流失情况，按照不同分区加权平均计算得出至验收前的最后一次调查数据结果，土壤侵蚀模数为4</w:t>
      </w:r>
      <w:r>
        <w:rPr>
          <w:rFonts w:hint="eastAsia" w:cs="Times New Roman"/>
          <w:lang w:val="en-US" w:eastAsia="zh-CN"/>
        </w:rPr>
        <w:t>08</w:t>
      </w:r>
      <w:r>
        <w:rPr>
          <w:rFonts w:cs="Times New Roman"/>
        </w:rPr>
        <w:t>t/km²•a</w:t>
      </w:r>
      <w:r>
        <w:rPr>
          <w:rFonts w:hint="eastAsia" w:cs="Times New Roman"/>
        </w:rPr>
        <w:t>，允许土壤侵蚀模数为</w:t>
      </w:r>
      <w:r>
        <w:rPr>
          <w:rFonts w:cs="Times New Roman"/>
        </w:rPr>
        <w:t>500t/km²•a</w:t>
      </w:r>
      <w:r>
        <w:rPr>
          <w:rFonts w:hint="eastAsia" w:cs="Times New Roman"/>
        </w:rPr>
        <w:t>。</w:t>
      </w:r>
    </w:p>
    <w:p>
      <w:pPr>
        <w:pStyle w:val="3"/>
        <w:rPr>
          <w:rFonts w:ascii="Times New Roman" w:hAnsi="Times New Roman" w:cs="Times New Roman"/>
        </w:rPr>
      </w:pPr>
      <w:bookmarkStart w:id="77" w:name="_Toc5825918"/>
      <w:bookmarkStart w:id="78" w:name="_Toc4173"/>
      <w:bookmarkStart w:id="79" w:name="_Toc2534375"/>
      <w:r>
        <w:rPr>
          <w:rFonts w:ascii="Times New Roman" w:hAnsi="Times New Roman" w:cs="Times New Roman"/>
        </w:rPr>
        <w:t>潜在土壤流失量</w:t>
      </w:r>
      <w:bookmarkEnd w:id="77"/>
      <w:bookmarkEnd w:id="78"/>
      <w:bookmarkEnd w:id="79"/>
    </w:p>
    <w:p>
      <w:pPr>
        <w:ind w:firstLine="480"/>
        <w:rPr>
          <w:rFonts w:cs="Times New Roman"/>
        </w:rPr>
      </w:pPr>
      <w:r>
        <w:rPr>
          <w:rFonts w:hint="eastAsia" w:cs="Times New Roman"/>
        </w:rPr>
        <w:t>项目区</w:t>
      </w:r>
      <w:r>
        <w:rPr>
          <w:rFonts w:cs="Times New Roman"/>
        </w:rPr>
        <w:t>存在潜在水土流失量</w:t>
      </w:r>
      <w:r>
        <w:rPr>
          <w:rFonts w:hint="eastAsia" w:cs="Times New Roman"/>
        </w:rPr>
        <w:t>，</w:t>
      </w:r>
      <w:r>
        <w:rPr>
          <w:rFonts w:cs="Times New Roman"/>
        </w:rPr>
        <w:t>根据调查及结合施工期间资料，施工初期，是大量土石方挖填的时段，扰动频繁且剧烈，但部分区域水土保持措施实施不完善，并且在降雨等因素的影响下，区内土壤侵蚀强度增大，水土流失量较大，存在一定的潜在水土流失量。建设单位督促施工单位及时实施水土保持相关措施，在后续的施工过程中，逐渐形成了以工程措施为主，植物措施和临时措施相结合的防治体系，有效的控制了土壤侵蚀强度，水土流失量在这期间较施工初期逐渐</w:t>
      </w:r>
      <w:r>
        <w:rPr>
          <w:rFonts w:hint="eastAsia" w:cs="Times New Roman"/>
        </w:rPr>
        <w:t>减少</w:t>
      </w:r>
      <w:r>
        <w:rPr>
          <w:rFonts w:cs="Times New Roman"/>
        </w:rPr>
        <w:t>，基本不存在主体开挖及回填过程中</w:t>
      </w:r>
      <w:r>
        <w:rPr>
          <w:rFonts w:hint="eastAsia" w:cs="Times New Roman"/>
        </w:rPr>
        <w:t>项目区</w:t>
      </w:r>
      <w:r>
        <w:rPr>
          <w:rFonts w:cs="Times New Roman"/>
        </w:rPr>
        <w:t>潜在水土流失量。</w:t>
      </w:r>
    </w:p>
    <w:p>
      <w:pPr>
        <w:pStyle w:val="3"/>
        <w:rPr>
          <w:rFonts w:ascii="Times New Roman" w:hAnsi="Times New Roman" w:cs="Times New Roman"/>
        </w:rPr>
      </w:pPr>
      <w:bookmarkStart w:id="80" w:name="_Toc12382"/>
      <w:bookmarkStart w:id="81" w:name="_Toc5825919"/>
      <w:bookmarkStart w:id="82" w:name="_Toc2534376"/>
      <w:r>
        <w:rPr>
          <w:rFonts w:ascii="Times New Roman" w:hAnsi="Times New Roman" w:cs="Times New Roman"/>
        </w:rPr>
        <w:t>水土流失危害</w:t>
      </w:r>
      <w:bookmarkEnd w:id="80"/>
      <w:bookmarkEnd w:id="81"/>
      <w:bookmarkEnd w:id="82"/>
    </w:p>
    <w:p>
      <w:pPr>
        <w:ind w:firstLine="480"/>
        <w:rPr>
          <w:rFonts w:cs="Times New Roman"/>
        </w:rPr>
      </w:pPr>
      <w:bookmarkStart w:id="83" w:name="_Toc447968670"/>
      <w:bookmarkStart w:id="84" w:name="_Toc447968724"/>
      <w:bookmarkStart w:id="85" w:name="_Toc452816755"/>
      <w:r>
        <w:rPr>
          <w:rFonts w:cs="Times New Roman"/>
        </w:rPr>
        <w:t>（1）对土地资源的破坏</w:t>
      </w:r>
      <w:bookmarkEnd w:id="83"/>
      <w:bookmarkEnd w:id="84"/>
      <w:bookmarkEnd w:id="85"/>
    </w:p>
    <w:p>
      <w:pPr>
        <w:ind w:firstLine="480"/>
        <w:rPr>
          <w:rFonts w:cs="Times New Roman"/>
        </w:rPr>
      </w:pPr>
      <w:r>
        <w:rPr>
          <w:rFonts w:cs="Times New Roman"/>
        </w:rPr>
        <w:t>工程建设大量扰动和破坏原地貌，使表土层剥离形成裸露地表和基岩及高陡边坡，失去原有植被的防冲固土能力。建设过程中将破坏、扰动原地表，若不采取水土保持措施对其加以防护，表层耕植土或腐殖质层将被剥离、冲刷殆尽；若对工程开挖弃渣不加防护，则其周围的地表可能被流失的土石渣淤埋覆盖，使土壤中的养分大大降低，造成区域植被生长立地条件变差，对植被生长不利，并对下游地区带来不利影响。</w:t>
      </w:r>
      <w:bookmarkStart w:id="86" w:name="_Toc447968725"/>
      <w:bookmarkStart w:id="87" w:name="_Toc452816756"/>
      <w:bookmarkStart w:id="88" w:name="_Toc447968671"/>
    </w:p>
    <w:p>
      <w:pPr>
        <w:ind w:firstLine="480"/>
        <w:rPr>
          <w:rFonts w:cs="Times New Roman"/>
        </w:rPr>
      </w:pPr>
      <w:r>
        <w:rPr>
          <w:rFonts w:cs="Times New Roman"/>
        </w:rPr>
        <w:t>（2）对生态环境的影响</w:t>
      </w:r>
      <w:bookmarkEnd w:id="86"/>
      <w:bookmarkEnd w:id="87"/>
      <w:bookmarkEnd w:id="88"/>
    </w:p>
    <w:p>
      <w:pPr>
        <w:ind w:firstLine="480"/>
        <w:rPr>
          <w:rFonts w:cs="Times New Roman"/>
        </w:rPr>
      </w:pPr>
      <w:r>
        <w:rPr>
          <w:rFonts w:cs="Times New Roman"/>
        </w:rPr>
        <w:t>由于工程建设破坏了区域内原有的地表、植被和自然景观，加剧了水土流失，对当地环境造成影响；同时整个工程区因水土流失使大量泥沙流入河，将增加河水含沙量，致使泥沙危害下游。</w:t>
      </w:r>
      <w:bookmarkStart w:id="89" w:name="_Toc447968672"/>
      <w:bookmarkStart w:id="90" w:name="_Toc447968726"/>
      <w:bookmarkStart w:id="91" w:name="_Toc452816757"/>
    </w:p>
    <w:p>
      <w:pPr>
        <w:ind w:firstLine="480"/>
        <w:rPr>
          <w:rFonts w:cs="Times New Roman"/>
        </w:rPr>
      </w:pPr>
      <w:r>
        <w:rPr>
          <w:rFonts w:cs="Times New Roman"/>
        </w:rPr>
        <w:t>（3）对工程施工和运行的影响</w:t>
      </w:r>
      <w:bookmarkEnd w:id="89"/>
      <w:bookmarkEnd w:id="90"/>
      <w:bookmarkEnd w:id="91"/>
    </w:p>
    <w:p>
      <w:pPr>
        <w:ind w:firstLine="480"/>
        <w:rPr>
          <w:rFonts w:cs="Times New Roman"/>
          <w:b/>
        </w:rPr>
      </w:pPr>
      <w:r>
        <w:rPr>
          <w:rFonts w:cs="Times New Roman"/>
        </w:rPr>
        <w:t>在施工期，受工程区地形地貌及场地限制，施工企业布置相对紧凑若不采取防护措施，产生的水土流失将损坏周围道路，造成局部施工作业面的淤积，影响主体工程施工进度。</w:t>
      </w:r>
    </w:p>
    <w:p>
      <w:pPr>
        <w:ind w:firstLine="480"/>
        <w:rPr>
          <w:rFonts w:cs="Times New Roman"/>
        </w:rPr>
      </w:pPr>
      <w:r>
        <w:rPr>
          <w:rFonts w:cs="Times New Roman"/>
        </w:rPr>
        <w:t>目前项目</w:t>
      </w:r>
      <w:r>
        <w:rPr>
          <w:rFonts w:hint="eastAsia" w:cs="Times New Roman"/>
        </w:rPr>
        <w:t>基本</w:t>
      </w:r>
      <w:r>
        <w:rPr>
          <w:rFonts w:cs="Times New Roman"/>
        </w:rPr>
        <w:t>完工，并且布设</w:t>
      </w:r>
      <w:r>
        <w:rPr>
          <w:rFonts w:hint="eastAsia" w:cs="Times New Roman"/>
        </w:rPr>
        <w:t>了</w:t>
      </w:r>
      <w:r>
        <w:rPr>
          <w:rFonts w:cs="Times New Roman"/>
        </w:rPr>
        <w:t>措施，减少了水土流失，未对周边生产生活造成影响。项目区内基本无裸露地表，当前基本没有水土流失现象，基本无水土流失危害。</w:t>
      </w:r>
    </w:p>
    <w:p>
      <w:pPr>
        <w:pStyle w:val="2"/>
      </w:pPr>
      <w:bookmarkStart w:id="92" w:name="_Toc31870"/>
      <w:bookmarkStart w:id="93" w:name="_Toc2534377"/>
      <w:bookmarkStart w:id="94" w:name="_Toc5825920"/>
      <w:r>
        <w:t>水土流失防治效果监测结果</w:t>
      </w:r>
      <w:bookmarkEnd w:id="92"/>
      <w:bookmarkEnd w:id="93"/>
      <w:bookmarkEnd w:id="94"/>
    </w:p>
    <w:p>
      <w:pPr>
        <w:pStyle w:val="3"/>
        <w:rPr>
          <w:rFonts w:ascii="Times New Roman" w:hAnsi="Times New Roman" w:cs="Times New Roman"/>
        </w:rPr>
      </w:pPr>
      <w:bookmarkStart w:id="95" w:name="_Toc13276"/>
      <w:r>
        <w:rPr>
          <w:rFonts w:hint="eastAsia" w:ascii="Times New Roman" w:hAnsi="Times New Roman" w:cs="Times New Roman"/>
        </w:rPr>
        <w:t>扰动土地整治率</w:t>
      </w:r>
      <w:bookmarkEnd w:id="95"/>
    </w:p>
    <w:p>
      <w:pPr>
        <w:snapToGrid w:val="0"/>
        <w:ind w:firstLine="480"/>
        <w:rPr>
          <w:rFonts w:cs="Times New Roman"/>
        </w:rPr>
      </w:pPr>
      <w:r>
        <w:rPr>
          <w:rFonts w:hint="eastAsia"/>
        </w:rPr>
        <w:t>根据水土保持监测结果并结合项目建设前后遥感影像分析，工程实际造成扰动面积</w:t>
      </w:r>
      <w:r>
        <w:rPr>
          <w:rFonts w:hint="eastAsia"/>
          <w:lang w:eastAsia="zh-CN"/>
        </w:rPr>
        <w:t>4.45</w:t>
      </w:r>
      <w:r>
        <w:rPr>
          <w:rFonts w:hint="eastAsia"/>
        </w:rPr>
        <w:t>hm</w:t>
      </w:r>
      <w:r>
        <w:rPr>
          <w:rFonts w:hint="eastAsia"/>
          <w:vertAlign w:val="superscript"/>
        </w:rPr>
        <w:t>2</w:t>
      </w:r>
      <w:r>
        <w:rPr>
          <w:rFonts w:hint="eastAsia"/>
        </w:rPr>
        <w:t>。实际完成水土流失治理面积</w:t>
      </w:r>
      <w:r>
        <w:rPr>
          <w:rFonts w:hint="eastAsia"/>
          <w:lang w:eastAsia="zh-CN"/>
        </w:rPr>
        <w:t>0.32</w:t>
      </w:r>
      <w:r>
        <w:rPr>
          <w:rFonts w:hint="eastAsia"/>
        </w:rPr>
        <w:t xml:space="preserve"> hm</w:t>
      </w:r>
      <w:r>
        <w:rPr>
          <w:rFonts w:hint="eastAsia"/>
          <w:vertAlign w:val="superscript"/>
        </w:rPr>
        <w:t>2</w:t>
      </w:r>
      <w:r>
        <w:rPr>
          <w:rFonts w:hint="eastAsia"/>
        </w:rPr>
        <w:t>，硬化及建筑占压面积</w:t>
      </w:r>
      <w:r>
        <w:rPr>
          <w:rFonts w:hint="eastAsia"/>
          <w:lang w:eastAsia="zh-CN"/>
        </w:rPr>
        <w:t>4.13</w:t>
      </w:r>
      <w:r>
        <w:rPr>
          <w:rFonts w:hint="eastAsia"/>
        </w:rPr>
        <w:t>hm</w:t>
      </w:r>
      <w:r>
        <w:rPr>
          <w:rFonts w:hint="eastAsia"/>
          <w:vertAlign w:val="superscript"/>
        </w:rPr>
        <w:t>2</w:t>
      </w:r>
      <w:r>
        <w:rPr>
          <w:rFonts w:hint="eastAsia"/>
        </w:rPr>
        <w:t>，扰动土地整治率为</w:t>
      </w:r>
      <w:r>
        <w:rPr>
          <w:rFonts w:hint="eastAsia"/>
          <w:lang w:eastAsia="zh-CN"/>
        </w:rPr>
        <w:t>99.97</w:t>
      </w:r>
      <w:r>
        <w:rPr>
          <w:rFonts w:hint="eastAsia"/>
        </w:rPr>
        <w:t>%，达到批复的水土保持方案确定的防治目标值95%</w:t>
      </w:r>
      <w:r>
        <w:rPr>
          <w:rFonts w:cs="Times New Roman"/>
        </w:rPr>
        <w:t>。</w:t>
      </w:r>
    </w:p>
    <w:p>
      <w:pPr>
        <w:pStyle w:val="24"/>
        <w:rPr>
          <w:rFonts w:cs="Times New Roman"/>
        </w:rPr>
      </w:pPr>
      <w:r>
        <w:rPr>
          <w:rFonts w:cs="Times New Roman"/>
        </w:rPr>
        <w:t>表</w:t>
      </w:r>
      <w:r>
        <w:rPr>
          <w:rFonts w:hint="eastAsia" w:cs="Times New Roman"/>
        </w:rPr>
        <w:t>6.1-1</w:t>
      </w:r>
      <w:r>
        <w:rPr>
          <w:rFonts w:cs="Times New Roman"/>
        </w:rPr>
        <w:t xml:space="preserve"> 各</w:t>
      </w:r>
      <w:r>
        <w:rPr>
          <w:rFonts w:hint="eastAsia" w:cs="Times New Roman"/>
          <w:lang w:val="en-US" w:eastAsia="zh-CN"/>
        </w:rPr>
        <w:t>分区</w:t>
      </w:r>
      <w:r>
        <w:rPr>
          <w:rFonts w:hint="eastAsia" w:cs="Times New Roman"/>
        </w:rPr>
        <w:t>扰动土地整治率一览表</w:t>
      </w:r>
      <w:r>
        <w:rPr>
          <w:rFonts w:cs="Times New Roman"/>
        </w:rPr>
        <w:t>（单位：hm</w:t>
      </w:r>
      <w:r>
        <w:rPr>
          <w:rFonts w:cs="Times New Roman"/>
          <w:vertAlign w:val="superscript"/>
        </w:rPr>
        <w:t>2</w:t>
      </w:r>
      <w:r>
        <w:rPr>
          <w:rFonts w:cs="Times New Roman"/>
        </w:rPr>
        <w:t>）</w:t>
      </w:r>
    </w:p>
    <w:tbl>
      <w:tblPr>
        <w:tblW w:w="4997"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tblLayout w:type="autofit"/>
        <w:tblCellMar>
          <w:top w:w="0" w:type="dxa"/>
          <w:left w:w="0" w:type="dxa"/>
          <w:bottom w:w="0" w:type="dxa"/>
          <w:right w:w="0" w:type="dxa"/>
        </w:tblCellMar>
      </w:tblPr>
      <w:tblGrid>
        <w:gridCol w:w="872"/>
        <w:gridCol w:w="1645"/>
        <w:gridCol w:w="750"/>
        <w:gridCol w:w="1083"/>
        <w:gridCol w:w="917"/>
        <w:gridCol w:w="917"/>
        <w:gridCol w:w="917"/>
        <w:gridCol w:w="921"/>
        <w:gridCol w:w="1073"/>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479" w:type="pct"/>
            <w:vMerge w:val="restart"/>
            <w:tcBorders>
              <w:tl2br w:val="nil"/>
              <w:tr2bl w:val="nil"/>
            </w:tcBorders>
            <w:shd w:val="clear"/>
            <w:tcMar>
              <w:top w:w="15" w:type="dxa"/>
              <w:left w:w="15" w:type="dxa"/>
              <w:right w:w="15" w:type="dxa"/>
            </w:tcMar>
            <w:vAlign w:val="center"/>
          </w:tcPr>
          <w:p>
            <w:pPr>
              <w:pStyle w:val="23"/>
              <w:bidi w:val="0"/>
              <w:rPr>
                <w:rFonts w:hint="default"/>
              </w:rPr>
            </w:pPr>
            <w:bookmarkStart w:id="96" w:name="_Toc6260"/>
            <w:r>
              <w:rPr>
                <w:rFonts w:hint="default"/>
                <w:lang w:val="en-US" w:eastAsia="zh-CN"/>
              </w:rPr>
              <w:t>序号</w:t>
            </w:r>
          </w:p>
        </w:tc>
        <w:tc>
          <w:tcPr>
            <w:tcW w:w="904" w:type="pct"/>
            <w:vMerge w:val="restart"/>
            <w:tcBorders>
              <w:tl2br w:val="nil"/>
              <w:tr2bl w:val="nil"/>
            </w:tcBorders>
            <w:shd w:val="clear"/>
            <w:tcMar>
              <w:top w:w="15" w:type="dxa"/>
              <w:left w:w="15" w:type="dxa"/>
              <w:right w:w="15" w:type="dxa"/>
            </w:tcMar>
            <w:vAlign w:val="center"/>
          </w:tcPr>
          <w:p>
            <w:pPr>
              <w:pStyle w:val="23"/>
              <w:bidi w:val="0"/>
              <w:rPr>
                <w:rFonts w:hint="default"/>
              </w:rPr>
            </w:pPr>
            <w:r>
              <w:rPr>
                <w:rFonts w:hint="default"/>
                <w:lang w:val="en-US" w:eastAsia="zh-CN"/>
              </w:rPr>
              <w:t>防治分区</w:t>
            </w:r>
          </w:p>
        </w:tc>
        <w:tc>
          <w:tcPr>
            <w:tcW w:w="412" w:type="pct"/>
            <w:vMerge w:val="restart"/>
            <w:tcBorders>
              <w:tl2br w:val="nil"/>
              <w:tr2bl w:val="nil"/>
            </w:tcBorders>
            <w:shd w:val="clear"/>
            <w:tcMar>
              <w:top w:w="15" w:type="dxa"/>
              <w:left w:w="15" w:type="dxa"/>
              <w:right w:w="15" w:type="dxa"/>
            </w:tcMar>
            <w:vAlign w:val="center"/>
          </w:tcPr>
          <w:p>
            <w:pPr>
              <w:pStyle w:val="23"/>
              <w:bidi w:val="0"/>
              <w:rPr>
                <w:rFonts w:hint="default"/>
              </w:rPr>
            </w:pPr>
            <w:r>
              <w:rPr>
                <w:rFonts w:hint="default"/>
                <w:lang w:val="en-US" w:eastAsia="zh-CN"/>
              </w:rPr>
              <w:t>项目建设区</w:t>
            </w:r>
          </w:p>
        </w:tc>
        <w:tc>
          <w:tcPr>
            <w:tcW w:w="595" w:type="pct"/>
            <w:vMerge w:val="restart"/>
            <w:tcBorders>
              <w:tl2br w:val="nil"/>
              <w:tr2bl w:val="nil"/>
            </w:tcBorders>
            <w:shd w:val="clear"/>
            <w:tcMar>
              <w:top w:w="15" w:type="dxa"/>
              <w:left w:w="15" w:type="dxa"/>
              <w:right w:w="15" w:type="dxa"/>
            </w:tcMar>
            <w:vAlign w:val="center"/>
          </w:tcPr>
          <w:p>
            <w:pPr>
              <w:pStyle w:val="23"/>
              <w:bidi w:val="0"/>
              <w:rPr>
                <w:rFonts w:hint="default"/>
              </w:rPr>
            </w:pPr>
            <w:r>
              <w:rPr>
                <w:rFonts w:hint="default"/>
                <w:lang w:val="en-US" w:eastAsia="zh-CN"/>
              </w:rPr>
              <w:t>扰动面积</w:t>
            </w:r>
          </w:p>
        </w:tc>
        <w:tc>
          <w:tcPr>
            <w:tcW w:w="504" w:type="pct"/>
            <w:vMerge w:val="restart"/>
            <w:tcBorders>
              <w:tl2br w:val="nil"/>
              <w:tr2bl w:val="nil"/>
            </w:tcBorders>
            <w:shd w:val="clear"/>
            <w:tcMar>
              <w:top w:w="15" w:type="dxa"/>
              <w:left w:w="15" w:type="dxa"/>
              <w:right w:w="15" w:type="dxa"/>
            </w:tcMar>
            <w:vAlign w:val="center"/>
          </w:tcPr>
          <w:p>
            <w:pPr>
              <w:pStyle w:val="23"/>
              <w:bidi w:val="0"/>
              <w:rPr>
                <w:rFonts w:hint="default"/>
              </w:rPr>
            </w:pPr>
            <w:r>
              <w:rPr>
                <w:rFonts w:hint="default"/>
                <w:lang w:val="en-US" w:eastAsia="zh-CN"/>
              </w:rPr>
              <w:t>硬化及建筑物面积</w:t>
            </w:r>
          </w:p>
        </w:tc>
        <w:tc>
          <w:tcPr>
            <w:tcW w:w="1514" w:type="pct"/>
            <w:gridSpan w:val="3"/>
            <w:tcBorders>
              <w:tl2br w:val="nil"/>
              <w:tr2bl w:val="nil"/>
            </w:tcBorders>
            <w:shd w:val="clear"/>
            <w:tcMar>
              <w:top w:w="15" w:type="dxa"/>
              <w:left w:w="15" w:type="dxa"/>
              <w:right w:w="15" w:type="dxa"/>
            </w:tcMar>
            <w:vAlign w:val="center"/>
          </w:tcPr>
          <w:p>
            <w:pPr>
              <w:pStyle w:val="23"/>
              <w:bidi w:val="0"/>
              <w:rPr>
                <w:rFonts w:hint="default"/>
              </w:rPr>
            </w:pPr>
            <w:r>
              <w:rPr>
                <w:rFonts w:hint="default"/>
                <w:lang w:val="en-US" w:eastAsia="zh-CN"/>
              </w:rPr>
              <w:t>水土流失治理面积</w:t>
            </w:r>
          </w:p>
        </w:tc>
        <w:tc>
          <w:tcPr>
            <w:tcW w:w="589" w:type="pct"/>
            <w:vMerge w:val="restart"/>
            <w:tcBorders>
              <w:tl2br w:val="nil"/>
              <w:tr2bl w:val="nil"/>
            </w:tcBorders>
            <w:shd w:val="clear"/>
            <w:tcMar>
              <w:top w:w="15" w:type="dxa"/>
              <w:left w:w="15" w:type="dxa"/>
              <w:right w:w="15" w:type="dxa"/>
            </w:tcMar>
            <w:vAlign w:val="center"/>
          </w:tcPr>
          <w:p>
            <w:pPr>
              <w:pStyle w:val="23"/>
              <w:bidi w:val="0"/>
              <w:rPr>
                <w:rFonts w:hint="eastAsia"/>
              </w:rPr>
            </w:pPr>
            <w:r>
              <w:rPr>
                <w:rFonts w:hint="eastAsia"/>
                <w:lang w:val="en-US" w:eastAsia="zh-CN"/>
              </w:rPr>
              <w:t>扰动土地整治率</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479" w:type="pct"/>
            <w:vMerge w:val="continue"/>
            <w:tcBorders>
              <w:tl2br w:val="nil"/>
              <w:tr2bl w:val="nil"/>
            </w:tcBorders>
            <w:shd w:val="clear"/>
            <w:tcMar>
              <w:top w:w="15" w:type="dxa"/>
              <w:left w:w="15" w:type="dxa"/>
              <w:right w:w="15" w:type="dxa"/>
            </w:tcMar>
            <w:vAlign w:val="center"/>
          </w:tcPr>
          <w:p>
            <w:pPr>
              <w:pStyle w:val="23"/>
              <w:bidi w:val="0"/>
              <w:rPr>
                <w:rFonts w:hint="default"/>
              </w:rPr>
            </w:pPr>
          </w:p>
        </w:tc>
        <w:tc>
          <w:tcPr>
            <w:tcW w:w="904" w:type="pct"/>
            <w:vMerge w:val="continue"/>
            <w:tcBorders>
              <w:tl2br w:val="nil"/>
              <w:tr2bl w:val="nil"/>
            </w:tcBorders>
            <w:shd w:val="clear"/>
            <w:tcMar>
              <w:top w:w="15" w:type="dxa"/>
              <w:left w:w="15" w:type="dxa"/>
              <w:right w:w="15" w:type="dxa"/>
            </w:tcMar>
            <w:vAlign w:val="center"/>
          </w:tcPr>
          <w:p>
            <w:pPr>
              <w:pStyle w:val="23"/>
              <w:bidi w:val="0"/>
              <w:rPr>
                <w:rFonts w:hint="default"/>
              </w:rPr>
            </w:pPr>
          </w:p>
        </w:tc>
        <w:tc>
          <w:tcPr>
            <w:tcW w:w="412" w:type="pct"/>
            <w:vMerge w:val="continue"/>
            <w:tcBorders>
              <w:tl2br w:val="nil"/>
              <w:tr2bl w:val="nil"/>
            </w:tcBorders>
            <w:shd w:val="clear"/>
            <w:tcMar>
              <w:top w:w="15" w:type="dxa"/>
              <w:left w:w="15" w:type="dxa"/>
              <w:right w:w="15" w:type="dxa"/>
            </w:tcMar>
            <w:vAlign w:val="center"/>
          </w:tcPr>
          <w:p>
            <w:pPr>
              <w:pStyle w:val="23"/>
              <w:bidi w:val="0"/>
              <w:rPr>
                <w:rFonts w:hint="default"/>
              </w:rPr>
            </w:pPr>
          </w:p>
        </w:tc>
        <w:tc>
          <w:tcPr>
            <w:tcW w:w="595" w:type="pct"/>
            <w:vMerge w:val="continue"/>
            <w:tcBorders>
              <w:tl2br w:val="nil"/>
              <w:tr2bl w:val="nil"/>
            </w:tcBorders>
            <w:shd w:val="clear"/>
            <w:tcMar>
              <w:top w:w="15" w:type="dxa"/>
              <w:left w:w="15" w:type="dxa"/>
              <w:right w:w="15" w:type="dxa"/>
            </w:tcMar>
            <w:vAlign w:val="center"/>
          </w:tcPr>
          <w:p>
            <w:pPr>
              <w:pStyle w:val="23"/>
              <w:bidi w:val="0"/>
              <w:rPr>
                <w:rFonts w:hint="default"/>
              </w:rPr>
            </w:pPr>
          </w:p>
        </w:tc>
        <w:tc>
          <w:tcPr>
            <w:tcW w:w="504" w:type="pct"/>
            <w:vMerge w:val="continue"/>
            <w:tcBorders>
              <w:tl2br w:val="nil"/>
              <w:tr2bl w:val="nil"/>
            </w:tcBorders>
            <w:shd w:val="clear"/>
            <w:tcMar>
              <w:top w:w="15" w:type="dxa"/>
              <w:left w:w="15" w:type="dxa"/>
              <w:right w:w="15" w:type="dxa"/>
            </w:tcMar>
            <w:vAlign w:val="center"/>
          </w:tcPr>
          <w:p>
            <w:pPr>
              <w:pStyle w:val="23"/>
              <w:bidi w:val="0"/>
              <w:rPr>
                <w:rFonts w:hint="default"/>
              </w:rPr>
            </w:pPr>
          </w:p>
        </w:tc>
        <w:tc>
          <w:tcPr>
            <w:tcW w:w="504" w:type="pct"/>
            <w:tcBorders>
              <w:tl2br w:val="nil"/>
              <w:tr2bl w:val="nil"/>
            </w:tcBorders>
            <w:shd w:val="clear"/>
            <w:tcMar>
              <w:top w:w="15" w:type="dxa"/>
              <w:left w:w="15" w:type="dxa"/>
              <w:right w:w="15" w:type="dxa"/>
            </w:tcMar>
            <w:vAlign w:val="center"/>
          </w:tcPr>
          <w:p>
            <w:pPr>
              <w:pStyle w:val="23"/>
              <w:bidi w:val="0"/>
              <w:rPr>
                <w:rFonts w:hint="default"/>
              </w:rPr>
            </w:pPr>
            <w:r>
              <w:rPr>
                <w:rFonts w:hint="default"/>
                <w:lang w:val="en-US" w:eastAsia="zh-CN"/>
              </w:rPr>
              <w:t>工程措施</w:t>
            </w:r>
          </w:p>
        </w:tc>
        <w:tc>
          <w:tcPr>
            <w:tcW w:w="504" w:type="pct"/>
            <w:tcBorders>
              <w:tl2br w:val="nil"/>
              <w:tr2bl w:val="nil"/>
            </w:tcBorders>
            <w:shd w:val="clear"/>
            <w:tcMar>
              <w:top w:w="15" w:type="dxa"/>
              <w:left w:w="15" w:type="dxa"/>
              <w:right w:w="15" w:type="dxa"/>
            </w:tcMar>
            <w:vAlign w:val="center"/>
          </w:tcPr>
          <w:p>
            <w:pPr>
              <w:pStyle w:val="23"/>
              <w:bidi w:val="0"/>
              <w:rPr>
                <w:rFonts w:hint="default"/>
              </w:rPr>
            </w:pPr>
            <w:r>
              <w:rPr>
                <w:rFonts w:hint="default"/>
                <w:lang w:val="en-US" w:eastAsia="zh-CN"/>
              </w:rPr>
              <w:t>植物措施</w:t>
            </w:r>
          </w:p>
        </w:tc>
        <w:tc>
          <w:tcPr>
            <w:tcW w:w="506" w:type="pct"/>
            <w:tcBorders>
              <w:tl2br w:val="nil"/>
              <w:tr2bl w:val="nil"/>
            </w:tcBorders>
            <w:shd w:val="clear"/>
            <w:tcMar>
              <w:top w:w="15" w:type="dxa"/>
              <w:left w:w="15" w:type="dxa"/>
              <w:right w:w="15" w:type="dxa"/>
            </w:tcMar>
            <w:vAlign w:val="center"/>
          </w:tcPr>
          <w:p>
            <w:pPr>
              <w:pStyle w:val="23"/>
              <w:bidi w:val="0"/>
              <w:rPr>
                <w:rFonts w:hint="default"/>
              </w:rPr>
            </w:pPr>
            <w:r>
              <w:rPr>
                <w:rFonts w:hint="default"/>
                <w:lang w:val="en-US" w:eastAsia="zh-CN"/>
              </w:rPr>
              <w:t>小计</w:t>
            </w:r>
          </w:p>
        </w:tc>
        <w:tc>
          <w:tcPr>
            <w:tcW w:w="589" w:type="pct"/>
            <w:vMerge w:val="continue"/>
            <w:tcBorders>
              <w:tl2br w:val="nil"/>
              <w:tr2bl w:val="nil"/>
            </w:tcBorders>
            <w:shd w:val="clear"/>
            <w:tcMar>
              <w:top w:w="15" w:type="dxa"/>
              <w:left w:w="15" w:type="dxa"/>
              <w:right w:w="15" w:type="dxa"/>
            </w:tcMar>
            <w:vAlign w:val="center"/>
          </w:tcPr>
          <w:p>
            <w:pPr>
              <w:pStyle w:val="23"/>
              <w:bidi w:val="0"/>
              <w:rPr>
                <w:rFonts w:hint="eastAsia"/>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479" w:type="pct"/>
            <w:tcBorders>
              <w:tl2br w:val="nil"/>
              <w:tr2bl w:val="nil"/>
            </w:tcBorders>
            <w:shd w:val="clear"/>
            <w:noWrap/>
            <w:tcMar>
              <w:top w:w="15" w:type="dxa"/>
              <w:left w:w="15" w:type="dxa"/>
              <w:right w:w="15" w:type="dxa"/>
            </w:tcMar>
            <w:vAlign w:val="center"/>
          </w:tcPr>
          <w:p>
            <w:pPr>
              <w:pStyle w:val="23"/>
              <w:bidi w:val="0"/>
              <w:rPr>
                <w:rFonts w:hint="default"/>
              </w:rPr>
            </w:pPr>
            <w:r>
              <w:rPr>
                <w:rFonts w:hint="default"/>
                <w:lang w:val="en-US" w:eastAsia="zh-CN"/>
              </w:rPr>
              <w:t>1</w:t>
            </w:r>
          </w:p>
        </w:tc>
        <w:tc>
          <w:tcPr>
            <w:tcW w:w="904" w:type="pct"/>
            <w:tcBorders>
              <w:tl2br w:val="nil"/>
              <w:tr2bl w:val="nil"/>
            </w:tcBorders>
            <w:shd w:val="clear"/>
            <w:noWrap/>
            <w:tcMar>
              <w:top w:w="15" w:type="dxa"/>
              <w:left w:w="15" w:type="dxa"/>
              <w:right w:w="15" w:type="dxa"/>
            </w:tcMar>
            <w:vAlign w:val="center"/>
          </w:tcPr>
          <w:p>
            <w:pPr>
              <w:pStyle w:val="23"/>
              <w:bidi w:val="0"/>
              <w:rPr>
                <w:rFonts w:hint="default"/>
              </w:rPr>
            </w:pPr>
            <w:r>
              <w:rPr>
                <w:rFonts w:hint="default"/>
                <w:lang w:val="en-US" w:eastAsia="zh-CN"/>
              </w:rPr>
              <w:t>建构筑物区</w:t>
            </w:r>
          </w:p>
        </w:tc>
        <w:tc>
          <w:tcPr>
            <w:tcW w:w="412" w:type="pct"/>
            <w:tcBorders>
              <w:tl2br w:val="nil"/>
              <w:tr2bl w:val="nil"/>
            </w:tcBorders>
            <w:shd w:val="clear"/>
            <w:tcMar>
              <w:top w:w="15" w:type="dxa"/>
              <w:left w:w="15" w:type="dxa"/>
              <w:right w:w="15" w:type="dxa"/>
            </w:tcMar>
            <w:vAlign w:val="center"/>
          </w:tcPr>
          <w:p>
            <w:pPr>
              <w:pStyle w:val="23"/>
              <w:bidi w:val="0"/>
              <w:rPr>
                <w:rFonts w:hint="default"/>
              </w:rPr>
            </w:pPr>
            <w:r>
              <w:rPr>
                <w:rFonts w:hint="default"/>
                <w:lang w:val="en-US" w:eastAsia="zh-CN"/>
              </w:rPr>
              <w:t>2.77</w:t>
            </w:r>
          </w:p>
        </w:tc>
        <w:tc>
          <w:tcPr>
            <w:tcW w:w="595" w:type="pct"/>
            <w:tcBorders>
              <w:tl2br w:val="nil"/>
              <w:tr2bl w:val="nil"/>
            </w:tcBorders>
            <w:shd w:val="clear"/>
            <w:tcMar>
              <w:top w:w="15" w:type="dxa"/>
              <w:left w:w="15" w:type="dxa"/>
              <w:right w:w="15" w:type="dxa"/>
            </w:tcMar>
            <w:vAlign w:val="center"/>
          </w:tcPr>
          <w:p>
            <w:pPr>
              <w:pStyle w:val="23"/>
              <w:bidi w:val="0"/>
              <w:rPr>
                <w:rFonts w:hint="default"/>
              </w:rPr>
            </w:pPr>
            <w:r>
              <w:rPr>
                <w:rFonts w:hint="default"/>
                <w:lang w:val="en-US" w:eastAsia="zh-CN"/>
              </w:rPr>
              <w:t xml:space="preserve">2.77 </w:t>
            </w:r>
          </w:p>
        </w:tc>
        <w:tc>
          <w:tcPr>
            <w:tcW w:w="504" w:type="pct"/>
            <w:tcBorders>
              <w:tl2br w:val="nil"/>
              <w:tr2bl w:val="nil"/>
            </w:tcBorders>
            <w:shd w:val="clear"/>
            <w:tcMar>
              <w:top w:w="15" w:type="dxa"/>
              <w:left w:w="15" w:type="dxa"/>
              <w:right w:w="15" w:type="dxa"/>
            </w:tcMar>
            <w:vAlign w:val="center"/>
          </w:tcPr>
          <w:p>
            <w:pPr>
              <w:pStyle w:val="23"/>
              <w:bidi w:val="0"/>
              <w:rPr>
                <w:rFonts w:hint="default"/>
              </w:rPr>
            </w:pPr>
            <w:r>
              <w:rPr>
                <w:rFonts w:hint="default"/>
                <w:lang w:val="en-US" w:eastAsia="zh-CN"/>
              </w:rPr>
              <w:t xml:space="preserve">2.76 </w:t>
            </w:r>
          </w:p>
        </w:tc>
        <w:tc>
          <w:tcPr>
            <w:tcW w:w="504" w:type="pct"/>
            <w:tcBorders>
              <w:tl2br w:val="nil"/>
              <w:tr2bl w:val="nil"/>
            </w:tcBorders>
            <w:shd w:val="clear"/>
            <w:tcMar>
              <w:top w:w="15" w:type="dxa"/>
              <w:left w:w="15" w:type="dxa"/>
              <w:right w:w="15" w:type="dxa"/>
            </w:tcMar>
            <w:vAlign w:val="center"/>
          </w:tcPr>
          <w:p>
            <w:pPr>
              <w:pStyle w:val="23"/>
              <w:bidi w:val="0"/>
              <w:rPr>
                <w:rFonts w:hint="default"/>
              </w:rPr>
            </w:pPr>
            <w:r>
              <w:rPr>
                <w:rFonts w:hint="default"/>
                <w:lang w:val="en-US" w:eastAsia="zh-CN"/>
              </w:rPr>
              <w:t xml:space="preserve">0.01 </w:t>
            </w:r>
          </w:p>
        </w:tc>
        <w:tc>
          <w:tcPr>
            <w:tcW w:w="504" w:type="pct"/>
            <w:tcBorders>
              <w:tl2br w:val="nil"/>
              <w:tr2bl w:val="nil"/>
            </w:tcBorders>
            <w:shd w:val="clear"/>
            <w:tcMar>
              <w:top w:w="15" w:type="dxa"/>
              <w:left w:w="15" w:type="dxa"/>
              <w:right w:w="15" w:type="dxa"/>
            </w:tcMar>
            <w:vAlign w:val="center"/>
          </w:tcPr>
          <w:p>
            <w:pPr>
              <w:pStyle w:val="23"/>
              <w:bidi w:val="0"/>
              <w:rPr>
                <w:rFonts w:hint="default"/>
              </w:rPr>
            </w:pPr>
          </w:p>
        </w:tc>
        <w:tc>
          <w:tcPr>
            <w:tcW w:w="506" w:type="pct"/>
            <w:tcBorders>
              <w:tl2br w:val="nil"/>
              <w:tr2bl w:val="nil"/>
            </w:tcBorders>
            <w:shd w:val="clear"/>
            <w:tcMar>
              <w:top w:w="15" w:type="dxa"/>
              <w:left w:w="15" w:type="dxa"/>
              <w:right w:w="15" w:type="dxa"/>
            </w:tcMar>
            <w:vAlign w:val="center"/>
          </w:tcPr>
          <w:p>
            <w:pPr>
              <w:pStyle w:val="23"/>
              <w:bidi w:val="0"/>
              <w:rPr>
                <w:rFonts w:hint="default"/>
              </w:rPr>
            </w:pPr>
            <w:r>
              <w:rPr>
                <w:rFonts w:hint="default"/>
                <w:lang w:val="en-US" w:eastAsia="zh-CN"/>
              </w:rPr>
              <w:t xml:space="preserve">0.01 </w:t>
            </w:r>
          </w:p>
        </w:tc>
        <w:tc>
          <w:tcPr>
            <w:tcW w:w="589" w:type="pct"/>
            <w:tcBorders>
              <w:tl2br w:val="nil"/>
              <w:tr2bl w:val="nil"/>
            </w:tcBorders>
            <w:shd w:val="clear"/>
            <w:tcMar>
              <w:top w:w="15" w:type="dxa"/>
              <w:left w:w="15" w:type="dxa"/>
              <w:right w:w="15" w:type="dxa"/>
            </w:tcMar>
            <w:vAlign w:val="center"/>
          </w:tcPr>
          <w:p>
            <w:pPr>
              <w:pStyle w:val="23"/>
              <w:bidi w:val="0"/>
              <w:rPr>
                <w:rFonts w:hint="default"/>
              </w:rPr>
            </w:pPr>
            <w:r>
              <w:rPr>
                <w:rFonts w:hint="default"/>
                <w:lang w:val="en-US" w:eastAsia="zh-CN"/>
              </w:rPr>
              <w:t>100.00%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479" w:type="pct"/>
            <w:tcBorders>
              <w:tl2br w:val="nil"/>
              <w:tr2bl w:val="nil"/>
            </w:tcBorders>
            <w:shd w:val="clear"/>
            <w:noWrap/>
            <w:tcMar>
              <w:top w:w="15" w:type="dxa"/>
              <w:left w:w="15" w:type="dxa"/>
              <w:right w:w="15" w:type="dxa"/>
            </w:tcMar>
            <w:vAlign w:val="center"/>
          </w:tcPr>
          <w:p>
            <w:pPr>
              <w:pStyle w:val="23"/>
              <w:bidi w:val="0"/>
              <w:rPr>
                <w:rFonts w:hint="default"/>
              </w:rPr>
            </w:pPr>
            <w:r>
              <w:rPr>
                <w:rFonts w:hint="default"/>
                <w:lang w:val="en-US" w:eastAsia="zh-CN"/>
              </w:rPr>
              <w:t>2</w:t>
            </w:r>
          </w:p>
        </w:tc>
        <w:tc>
          <w:tcPr>
            <w:tcW w:w="904" w:type="pct"/>
            <w:tcBorders>
              <w:tl2br w:val="nil"/>
              <w:tr2bl w:val="nil"/>
            </w:tcBorders>
            <w:shd w:val="clear"/>
            <w:noWrap/>
            <w:tcMar>
              <w:top w:w="15" w:type="dxa"/>
              <w:left w:w="15" w:type="dxa"/>
              <w:right w:w="15" w:type="dxa"/>
            </w:tcMar>
            <w:vAlign w:val="center"/>
          </w:tcPr>
          <w:p>
            <w:pPr>
              <w:pStyle w:val="23"/>
              <w:bidi w:val="0"/>
              <w:rPr>
                <w:rFonts w:hint="eastAsia"/>
              </w:rPr>
            </w:pPr>
            <w:r>
              <w:rPr>
                <w:rFonts w:hint="eastAsia"/>
                <w:lang w:val="en-US" w:eastAsia="zh-CN"/>
              </w:rPr>
              <w:t>道路及硬化工程</w:t>
            </w:r>
          </w:p>
        </w:tc>
        <w:tc>
          <w:tcPr>
            <w:tcW w:w="412" w:type="pct"/>
            <w:tcBorders>
              <w:tl2br w:val="nil"/>
              <w:tr2bl w:val="nil"/>
            </w:tcBorders>
            <w:shd w:val="clear"/>
            <w:tcMar>
              <w:top w:w="15" w:type="dxa"/>
              <w:left w:w="15" w:type="dxa"/>
              <w:right w:w="15" w:type="dxa"/>
            </w:tcMar>
            <w:vAlign w:val="center"/>
          </w:tcPr>
          <w:p>
            <w:pPr>
              <w:pStyle w:val="23"/>
              <w:bidi w:val="0"/>
              <w:rPr>
                <w:rFonts w:hint="default"/>
              </w:rPr>
            </w:pPr>
            <w:r>
              <w:rPr>
                <w:rFonts w:hint="default"/>
                <w:lang w:val="en-US" w:eastAsia="zh-CN"/>
              </w:rPr>
              <w:t>1.47</w:t>
            </w:r>
          </w:p>
        </w:tc>
        <w:tc>
          <w:tcPr>
            <w:tcW w:w="595" w:type="pct"/>
            <w:tcBorders>
              <w:tl2br w:val="nil"/>
              <w:tr2bl w:val="nil"/>
            </w:tcBorders>
            <w:shd w:val="clear"/>
            <w:tcMar>
              <w:top w:w="15" w:type="dxa"/>
              <w:left w:w="15" w:type="dxa"/>
              <w:right w:w="15" w:type="dxa"/>
            </w:tcMar>
            <w:vAlign w:val="center"/>
          </w:tcPr>
          <w:p>
            <w:pPr>
              <w:pStyle w:val="23"/>
              <w:bidi w:val="0"/>
              <w:rPr>
                <w:rFonts w:hint="default"/>
              </w:rPr>
            </w:pPr>
            <w:r>
              <w:rPr>
                <w:rFonts w:hint="default"/>
                <w:lang w:val="en-US" w:eastAsia="zh-CN"/>
              </w:rPr>
              <w:t xml:space="preserve">1.47 </w:t>
            </w:r>
          </w:p>
        </w:tc>
        <w:tc>
          <w:tcPr>
            <w:tcW w:w="504" w:type="pct"/>
            <w:tcBorders>
              <w:tl2br w:val="nil"/>
              <w:tr2bl w:val="nil"/>
            </w:tcBorders>
            <w:shd w:val="clear"/>
            <w:tcMar>
              <w:top w:w="15" w:type="dxa"/>
              <w:left w:w="15" w:type="dxa"/>
              <w:right w:w="15" w:type="dxa"/>
            </w:tcMar>
            <w:vAlign w:val="center"/>
          </w:tcPr>
          <w:p>
            <w:pPr>
              <w:pStyle w:val="23"/>
              <w:bidi w:val="0"/>
              <w:rPr>
                <w:rFonts w:hint="default"/>
              </w:rPr>
            </w:pPr>
            <w:r>
              <w:rPr>
                <w:rFonts w:hint="default"/>
                <w:lang w:val="en-US" w:eastAsia="zh-CN"/>
              </w:rPr>
              <w:t xml:space="preserve">1.37 </w:t>
            </w:r>
          </w:p>
        </w:tc>
        <w:tc>
          <w:tcPr>
            <w:tcW w:w="504" w:type="pct"/>
            <w:tcBorders>
              <w:tl2br w:val="nil"/>
              <w:tr2bl w:val="nil"/>
            </w:tcBorders>
            <w:shd w:val="clear"/>
            <w:tcMar>
              <w:top w:w="15" w:type="dxa"/>
              <w:left w:w="15" w:type="dxa"/>
              <w:right w:w="15" w:type="dxa"/>
            </w:tcMar>
            <w:vAlign w:val="center"/>
          </w:tcPr>
          <w:p>
            <w:pPr>
              <w:pStyle w:val="23"/>
              <w:bidi w:val="0"/>
              <w:rPr>
                <w:rFonts w:hint="default"/>
              </w:rPr>
            </w:pPr>
            <w:r>
              <w:rPr>
                <w:rFonts w:hint="default"/>
                <w:lang w:val="en-US" w:eastAsia="zh-CN"/>
              </w:rPr>
              <w:t xml:space="preserve">0.00 </w:t>
            </w:r>
          </w:p>
        </w:tc>
        <w:tc>
          <w:tcPr>
            <w:tcW w:w="504" w:type="pct"/>
            <w:tcBorders>
              <w:tl2br w:val="nil"/>
              <w:tr2bl w:val="nil"/>
            </w:tcBorders>
            <w:shd w:val="clear"/>
            <w:tcMar>
              <w:top w:w="15" w:type="dxa"/>
              <w:left w:w="15" w:type="dxa"/>
              <w:right w:w="15" w:type="dxa"/>
            </w:tcMar>
            <w:vAlign w:val="center"/>
          </w:tcPr>
          <w:p>
            <w:pPr>
              <w:pStyle w:val="23"/>
              <w:bidi w:val="0"/>
              <w:rPr>
                <w:rFonts w:hint="default"/>
              </w:rPr>
            </w:pPr>
            <w:r>
              <w:rPr>
                <w:rFonts w:hint="default"/>
                <w:lang w:val="en-US" w:eastAsia="zh-CN"/>
              </w:rPr>
              <w:t xml:space="preserve">0.10 </w:t>
            </w:r>
          </w:p>
        </w:tc>
        <w:tc>
          <w:tcPr>
            <w:tcW w:w="506" w:type="pct"/>
            <w:tcBorders>
              <w:tl2br w:val="nil"/>
              <w:tr2bl w:val="nil"/>
            </w:tcBorders>
            <w:shd w:val="clear"/>
            <w:tcMar>
              <w:top w:w="15" w:type="dxa"/>
              <w:left w:w="15" w:type="dxa"/>
              <w:right w:w="15" w:type="dxa"/>
            </w:tcMar>
            <w:vAlign w:val="center"/>
          </w:tcPr>
          <w:p>
            <w:pPr>
              <w:pStyle w:val="23"/>
              <w:bidi w:val="0"/>
              <w:rPr>
                <w:rFonts w:hint="default"/>
              </w:rPr>
            </w:pPr>
            <w:r>
              <w:rPr>
                <w:rFonts w:hint="default"/>
                <w:lang w:val="en-US" w:eastAsia="zh-CN"/>
              </w:rPr>
              <w:t xml:space="preserve">0.10 </w:t>
            </w:r>
          </w:p>
        </w:tc>
        <w:tc>
          <w:tcPr>
            <w:tcW w:w="589" w:type="pct"/>
            <w:tcBorders>
              <w:tl2br w:val="nil"/>
              <w:tr2bl w:val="nil"/>
            </w:tcBorders>
            <w:shd w:val="clear"/>
            <w:tcMar>
              <w:top w:w="15" w:type="dxa"/>
              <w:left w:w="15" w:type="dxa"/>
              <w:right w:w="15" w:type="dxa"/>
            </w:tcMar>
            <w:vAlign w:val="center"/>
          </w:tcPr>
          <w:p>
            <w:pPr>
              <w:pStyle w:val="23"/>
              <w:bidi w:val="0"/>
              <w:rPr>
                <w:rFonts w:hint="default"/>
              </w:rPr>
            </w:pPr>
            <w:r>
              <w:rPr>
                <w:rFonts w:hint="default"/>
                <w:lang w:val="en-US" w:eastAsia="zh-CN"/>
              </w:rPr>
              <w:t>99.99%</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479" w:type="pct"/>
            <w:tcBorders>
              <w:tl2br w:val="nil"/>
              <w:tr2bl w:val="nil"/>
            </w:tcBorders>
            <w:shd w:val="clear"/>
            <w:noWrap/>
            <w:tcMar>
              <w:top w:w="15" w:type="dxa"/>
              <w:left w:w="15" w:type="dxa"/>
              <w:right w:w="15" w:type="dxa"/>
            </w:tcMar>
            <w:vAlign w:val="center"/>
          </w:tcPr>
          <w:p>
            <w:pPr>
              <w:pStyle w:val="23"/>
              <w:bidi w:val="0"/>
              <w:rPr>
                <w:rFonts w:hint="default"/>
              </w:rPr>
            </w:pPr>
            <w:r>
              <w:rPr>
                <w:rFonts w:hint="default"/>
                <w:lang w:val="en-US" w:eastAsia="zh-CN"/>
              </w:rPr>
              <w:t>3</w:t>
            </w:r>
          </w:p>
        </w:tc>
        <w:tc>
          <w:tcPr>
            <w:tcW w:w="904" w:type="pct"/>
            <w:tcBorders>
              <w:tl2br w:val="nil"/>
              <w:tr2bl w:val="nil"/>
            </w:tcBorders>
            <w:shd w:val="clear"/>
            <w:noWrap/>
            <w:tcMar>
              <w:top w:w="15" w:type="dxa"/>
              <w:left w:w="15" w:type="dxa"/>
              <w:right w:w="15" w:type="dxa"/>
            </w:tcMar>
            <w:vAlign w:val="center"/>
          </w:tcPr>
          <w:p>
            <w:pPr>
              <w:pStyle w:val="23"/>
              <w:bidi w:val="0"/>
              <w:rPr>
                <w:rFonts w:hint="default"/>
              </w:rPr>
            </w:pPr>
            <w:r>
              <w:rPr>
                <w:rFonts w:hint="default"/>
                <w:lang w:val="en-US" w:eastAsia="zh-CN"/>
              </w:rPr>
              <w:t>绿化工程</w:t>
            </w:r>
          </w:p>
        </w:tc>
        <w:tc>
          <w:tcPr>
            <w:tcW w:w="412" w:type="pct"/>
            <w:tcBorders>
              <w:tl2br w:val="nil"/>
              <w:tr2bl w:val="nil"/>
            </w:tcBorders>
            <w:shd w:val="clear"/>
            <w:tcMar>
              <w:top w:w="15" w:type="dxa"/>
              <w:left w:w="15" w:type="dxa"/>
              <w:right w:w="15" w:type="dxa"/>
            </w:tcMar>
            <w:vAlign w:val="center"/>
          </w:tcPr>
          <w:p>
            <w:pPr>
              <w:pStyle w:val="23"/>
              <w:bidi w:val="0"/>
              <w:rPr>
                <w:rFonts w:hint="default"/>
              </w:rPr>
            </w:pPr>
            <w:r>
              <w:rPr>
                <w:rFonts w:hint="default"/>
                <w:lang w:val="en-US" w:eastAsia="zh-CN"/>
              </w:rPr>
              <w:t>0.21</w:t>
            </w:r>
          </w:p>
        </w:tc>
        <w:tc>
          <w:tcPr>
            <w:tcW w:w="595" w:type="pct"/>
            <w:tcBorders>
              <w:tl2br w:val="nil"/>
              <w:tr2bl w:val="nil"/>
            </w:tcBorders>
            <w:shd w:val="clear"/>
            <w:tcMar>
              <w:top w:w="15" w:type="dxa"/>
              <w:left w:w="15" w:type="dxa"/>
              <w:right w:w="15" w:type="dxa"/>
            </w:tcMar>
            <w:vAlign w:val="center"/>
          </w:tcPr>
          <w:p>
            <w:pPr>
              <w:pStyle w:val="23"/>
              <w:bidi w:val="0"/>
              <w:rPr>
                <w:rFonts w:hint="default"/>
              </w:rPr>
            </w:pPr>
            <w:r>
              <w:rPr>
                <w:rFonts w:hint="default"/>
                <w:lang w:val="en-US" w:eastAsia="zh-CN"/>
              </w:rPr>
              <w:t xml:space="preserve">0.21 </w:t>
            </w:r>
          </w:p>
        </w:tc>
        <w:tc>
          <w:tcPr>
            <w:tcW w:w="504" w:type="pct"/>
            <w:tcBorders>
              <w:tl2br w:val="nil"/>
              <w:tr2bl w:val="nil"/>
            </w:tcBorders>
            <w:shd w:val="clear"/>
            <w:tcMar>
              <w:top w:w="15" w:type="dxa"/>
              <w:left w:w="15" w:type="dxa"/>
              <w:right w:w="15" w:type="dxa"/>
            </w:tcMar>
            <w:vAlign w:val="center"/>
          </w:tcPr>
          <w:p>
            <w:pPr>
              <w:pStyle w:val="23"/>
              <w:bidi w:val="0"/>
              <w:rPr>
                <w:rFonts w:hint="default"/>
              </w:rPr>
            </w:pPr>
            <w:r>
              <w:rPr>
                <w:rFonts w:hint="default"/>
                <w:lang w:val="en-US" w:eastAsia="zh-CN"/>
              </w:rPr>
              <w:t xml:space="preserve">0.00 </w:t>
            </w:r>
          </w:p>
        </w:tc>
        <w:tc>
          <w:tcPr>
            <w:tcW w:w="504" w:type="pct"/>
            <w:tcBorders>
              <w:tl2br w:val="nil"/>
              <w:tr2bl w:val="nil"/>
            </w:tcBorders>
            <w:shd w:val="clear"/>
            <w:tcMar>
              <w:top w:w="15" w:type="dxa"/>
              <w:left w:w="15" w:type="dxa"/>
              <w:right w:w="15" w:type="dxa"/>
            </w:tcMar>
            <w:vAlign w:val="center"/>
          </w:tcPr>
          <w:p>
            <w:pPr>
              <w:pStyle w:val="23"/>
              <w:bidi w:val="0"/>
              <w:rPr>
                <w:rFonts w:hint="default"/>
              </w:rPr>
            </w:pPr>
          </w:p>
        </w:tc>
        <w:tc>
          <w:tcPr>
            <w:tcW w:w="504" w:type="pct"/>
            <w:tcBorders>
              <w:tl2br w:val="nil"/>
              <w:tr2bl w:val="nil"/>
            </w:tcBorders>
            <w:shd w:val="clear"/>
            <w:tcMar>
              <w:top w:w="15" w:type="dxa"/>
              <w:left w:w="15" w:type="dxa"/>
              <w:right w:w="15" w:type="dxa"/>
            </w:tcMar>
            <w:vAlign w:val="center"/>
          </w:tcPr>
          <w:p>
            <w:pPr>
              <w:pStyle w:val="23"/>
              <w:bidi w:val="0"/>
              <w:rPr>
                <w:rFonts w:hint="default"/>
              </w:rPr>
            </w:pPr>
            <w:r>
              <w:rPr>
                <w:rFonts w:hint="default"/>
                <w:lang w:val="en-US" w:eastAsia="zh-CN"/>
              </w:rPr>
              <w:t xml:space="preserve">0.21 </w:t>
            </w:r>
          </w:p>
        </w:tc>
        <w:tc>
          <w:tcPr>
            <w:tcW w:w="506" w:type="pct"/>
            <w:tcBorders>
              <w:tl2br w:val="nil"/>
              <w:tr2bl w:val="nil"/>
            </w:tcBorders>
            <w:shd w:val="clear"/>
            <w:tcMar>
              <w:top w:w="15" w:type="dxa"/>
              <w:left w:w="15" w:type="dxa"/>
              <w:right w:w="15" w:type="dxa"/>
            </w:tcMar>
            <w:vAlign w:val="center"/>
          </w:tcPr>
          <w:p>
            <w:pPr>
              <w:pStyle w:val="23"/>
              <w:bidi w:val="0"/>
              <w:rPr>
                <w:rFonts w:hint="default"/>
              </w:rPr>
            </w:pPr>
            <w:r>
              <w:rPr>
                <w:rFonts w:hint="default"/>
                <w:lang w:val="en-US" w:eastAsia="zh-CN"/>
              </w:rPr>
              <w:t xml:space="preserve">0.21 </w:t>
            </w:r>
          </w:p>
        </w:tc>
        <w:tc>
          <w:tcPr>
            <w:tcW w:w="589" w:type="pct"/>
            <w:tcBorders>
              <w:tl2br w:val="nil"/>
              <w:tr2bl w:val="nil"/>
            </w:tcBorders>
            <w:shd w:val="clear"/>
            <w:tcMar>
              <w:top w:w="15" w:type="dxa"/>
              <w:left w:w="15" w:type="dxa"/>
              <w:right w:w="15" w:type="dxa"/>
            </w:tcMar>
            <w:vAlign w:val="center"/>
          </w:tcPr>
          <w:p>
            <w:pPr>
              <w:pStyle w:val="23"/>
              <w:bidi w:val="0"/>
              <w:rPr>
                <w:rFonts w:hint="default"/>
              </w:rPr>
            </w:pPr>
            <w:r>
              <w:rPr>
                <w:rFonts w:hint="default"/>
                <w:lang w:val="en-US" w:eastAsia="zh-CN"/>
              </w:rPr>
              <w:t>99.52%</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1383" w:type="pct"/>
            <w:gridSpan w:val="2"/>
            <w:tcBorders>
              <w:tl2br w:val="nil"/>
              <w:tr2bl w:val="nil"/>
            </w:tcBorders>
            <w:shd w:val="clear"/>
            <w:tcMar>
              <w:top w:w="15" w:type="dxa"/>
              <w:left w:w="15" w:type="dxa"/>
              <w:right w:w="15" w:type="dxa"/>
            </w:tcMar>
            <w:vAlign w:val="center"/>
          </w:tcPr>
          <w:p>
            <w:pPr>
              <w:pStyle w:val="23"/>
              <w:bidi w:val="0"/>
              <w:rPr>
                <w:rFonts w:hint="eastAsia"/>
              </w:rPr>
            </w:pPr>
            <w:r>
              <w:rPr>
                <w:rFonts w:hint="eastAsia"/>
                <w:lang w:val="en-US" w:eastAsia="zh-CN"/>
              </w:rPr>
              <w:t>小计</w:t>
            </w:r>
          </w:p>
        </w:tc>
        <w:tc>
          <w:tcPr>
            <w:tcW w:w="412" w:type="pct"/>
            <w:tcBorders>
              <w:tl2br w:val="nil"/>
              <w:tr2bl w:val="nil"/>
            </w:tcBorders>
            <w:shd w:val="clear"/>
            <w:tcMar>
              <w:top w:w="15" w:type="dxa"/>
              <w:left w:w="15" w:type="dxa"/>
              <w:right w:w="15" w:type="dxa"/>
            </w:tcMar>
            <w:vAlign w:val="center"/>
          </w:tcPr>
          <w:p>
            <w:pPr>
              <w:pStyle w:val="23"/>
              <w:bidi w:val="0"/>
              <w:rPr>
                <w:rFonts w:hint="default"/>
              </w:rPr>
            </w:pPr>
            <w:r>
              <w:rPr>
                <w:rFonts w:hint="default"/>
                <w:lang w:val="en-US" w:eastAsia="zh-CN"/>
              </w:rPr>
              <w:t>4.45</w:t>
            </w:r>
          </w:p>
        </w:tc>
        <w:tc>
          <w:tcPr>
            <w:tcW w:w="595" w:type="pct"/>
            <w:tcBorders>
              <w:tl2br w:val="nil"/>
              <w:tr2bl w:val="nil"/>
            </w:tcBorders>
            <w:shd w:val="clear"/>
            <w:tcMar>
              <w:top w:w="15" w:type="dxa"/>
              <w:left w:w="15" w:type="dxa"/>
              <w:right w:w="15" w:type="dxa"/>
            </w:tcMar>
            <w:vAlign w:val="center"/>
          </w:tcPr>
          <w:p>
            <w:pPr>
              <w:pStyle w:val="23"/>
              <w:bidi w:val="0"/>
              <w:rPr>
                <w:rFonts w:hint="default"/>
              </w:rPr>
            </w:pPr>
            <w:r>
              <w:rPr>
                <w:rFonts w:hint="default"/>
                <w:lang w:val="en-US" w:eastAsia="zh-CN"/>
              </w:rPr>
              <w:t>4.45</w:t>
            </w:r>
          </w:p>
        </w:tc>
        <w:tc>
          <w:tcPr>
            <w:tcW w:w="504" w:type="pct"/>
            <w:tcBorders>
              <w:tl2br w:val="nil"/>
              <w:tr2bl w:val="nil"/>
            </w:tcBorders>
            <w:shd w:val="clear"/>
            <w:tcMar>
              <w:top w:w="15" w:type="dxa"/>
              <w:left w:w="15" w:type="dxa"/>
              <w:right w:w="15" w:type="dxa"/>
            </w:tcMar>
            <w:vAlign w:val="center"/>
          </w:tcPr>
          <w:p>
            <w:pPr>
              <w:pStyle w:val="23"/>
              <w:bidi w:val="0"/>
              <w:rPr>
                <w:rFonts w:hint="default"/>
              </w:rPr>
            </w:pPr>
            <w:r>
              <w:rPr>
                <w:rFonts w:hint="default"/>
                <w:lang w:val="en-US" w:eastAsia="zh-CN"/>
              </w:rPr>
              <w:t xml:space="preserve">4.13 </w:t>
            </w:r>
          </w:p>
        </w:tc>
        <w:tc>
          <w:tcPr>
            <w:tcW w:w="504" w:type="pct"/>
            <w:tcBorders>
              <w:tl2br w:val="nil"/>
              <w:tr2bl w:val="nil"/>
            </w:tcBorders>
            <w:shd w:val="clear"/>
            <w:tcMar>
              <w:top w:w="15" w:type="dxa"/>
              <w:left w:w="15" w:type="dxa"/>
              <w:right w:w="15" w:type="dxa"/>
            </w:tcMar>
            <w:vAlign w:val="center"/>
          </w:tcPr>
          <w:p>
            <w:pPr>
              <w:pStyle w:val="23"/>
              <w:bidi w:val="0"/>
              <w:rPr>
                <w:rFonts w:hint="default"/>
              </w:rPr>
            </w:pPr>
            <w:r>
              <w:rPr>
                <w:rFonts w:hint="default"/>
                <w:lang w:val="en-US" w:eastAsia="zh-CN"/>
              </w:rPr>
              <w:t xml:space="preserve">0.01 </w:t>
            </w:r>
          </w:p>
        </w:tc>
        <w:tc>
          <w:tcPr>
            <w:tcW w:w="504" w:type="pct"/>
            <w:tcBorders>
              <w:tl2br w:val="nil"/>
              <w:tr2bl w:val="nil"/>
            </w:tcBorders>
            <w:shd w:val="clear"/>
            <w:tcMar>
              <w:top w:w="15" w:type="dxa"/>
              <w:left w:w="15" w:type="dxa"/>
              <w:right w:w="15" w:type="dxa"/>
            </w:tcMar>
            <w:vAlign w:val="center"/>
          </w:tcPr>
          <w:p>
            <w:pPr>
              <w:pStyle w:val="23"/>
              <w:bidi w:val="0"/>
              <w:rPr>
                <w:rFonts w:hint="default"/>
              </w:rPr>
            </w:pPr>
            <w:r>
              <w:rPr>
                <w:rFonts w:hint="default"/>
                <w:lang w:val="en-US" w:eastAsia="zh-CN"/>
              </w:rPr>
              <w:t xml:space="preserve">0.31 </w:t>
            </w:r>
          </w:p>
        </w:tc>
        <w:tc>
          <w:tcPr>
            <w:tcW w:w="506" w:type="pct"/>
            <w:tcBorders>
              <w:tl2br w:val="nil"/>
              <w:tr2bl w:val="nil"/>
            </w:tcBorders>
            <w:shd w:val="clear"/>
            <w:tcMar>
              <w:top w:w="15" w:type="dxa"/>
              <w:left w:w="15" w:type="dxa"/>
              <w:right w:w="15" w:type="dxa"/>
            </w:tcMar>
            <w:vAlign w:val="center"/>
          </w:tcPr>
          <w:p>
            <w:pPr>
              <w:pStyle w:val="23"/>
              <w:bidi w:val="0"/>
              <w:rPr>
                <w:rFonts w:hint="default"/>
              </w:rPr>
            </w:pPr>
            <w:r>
              <w:rPr>
                <w:rFonts w:hint="default"/>
                <w:lang w:val="en-US" w:eastAsia="zh-CN"/>
              </w:rPr>
              <w:t xml:space="preserve">0.32 </w:t>
            </w:r>
          </w:p>
        </w:tc>
        <w:tc>
          <w:tcPr>
            <w:tcW w:w="589" w:type="pct"/>
            <w:tcBorders>
              <w:tl2br w:val="nil"/>
              <w:tr2bl w:val="nil"/>
            </w:tcBorders>
            <w:shd w:val="clear"/>
            <w:tcMar>
              <w:top w:w="15" w:type="dxa"/>
              <w:left w:w="15" w:type="dxa"/>
              <w:right w:w="15" w:type="dxa"/>
            </w:tcMar>
            <w:vAlign w:val="center"/>
          </w:tcPr>
          <w:p>
            <w:pPr>
              <w:pStyle w:val="23"/>
              <w:bidi w:val="0"/>
              <w:rPr>
                <w:rFonts w:hint="default"/>
              </w:rPr>
            </w:pPr>
            <w:r>
              <w:rPr>
                <w:rFonts w:hint="default"/>
                <w:lang w:val="en-US" w:eastAsia="zh-CN"/>
              </w:rPr>
              <w:t>99.97%</w:t>
            </w:r>
          </w:p>
        </w:tc>
      </w:tr>
    </w:tbl>
    <w:p>
      <w:pPr>
        <w:pStyle w:val="3"/>
        <w:rPr>
          <w:rFonts w:ascii="Times New Roman" w:hAnsi="Times New Roman" w:cs="Times New Roman"/>
        </w:rPr>
      </w:pPr>
      <w:r>
        <w:rPr>
          <w:rFonts w:hint="eastAsia" w:ascii="Times New Roman" w:hAnsi="Times New Roman" w:cs="Times New Roman"/>
        </w:rPr>
        <w:t>水土流失总治理度</w:t>
      </w:r>
      <w:bookmarkEnd w:id="96"/>
    </w:p>
    <w:p>
      <w:pPr>
        <w:ind w:firstLine="480"/>
        <w:rPr>
          <w:rFonts w:cs="Times New Roman"/>
        </w:rPr>
      </w:pPr>
      <w:r>
        <w:rPr>
          <w:rFonts w:hint="eastAsia" w:cs="Times New Roman"/>
        </w:rPr>
        <w:t>根据水土保持监测结果并结合项目建设前后遥感影像分析，工程实际造成水土流失面积</w:t>
      </w:r>
      <w:r>
        <w:rPr>
          <w:rFonts w:hint="eastAsia" w:cs="Times New Roman"/>
          <w:lang w:eastAsia="zh-CN"/>
        </w:rPr>
        <w:t>0.32</w:t>
      </w:r>
      <w:r>
        <w:rPr>
          <w:rFonts w:hint="eastAsia" w:cs="Times New Roman"/>
        </w:rPr>
        <w:t xml:space="preserve"> hm</w:t>
      </w:r>
      <w:r>
        <w:rPr>
          <w:rFonts w:hint="eastAsia" w:cs="Times New Roman"/>
          <w:vertAlign w:val="superscript"/>
        </w:rPr>
        <w:t>2</w:t>
      </w:r>
      <w:r>
        <w:rPr>
          <w:rFonts w:hint="eastAsia" w:cs="Times New Roman"/>
        </w:rPr>
        <w:t>。实际完成水土流失治理面积</w:t>
      </w:r>
      <w:r>
        <w:rPr>
          <w:rFonts w:hint="eastAsia" w:cs="Times New Roman"/>
          <w:lang w:eastAsia="zh-CN"/>
        </w:rPr>
        <w:t>0.32</w:t>
      </w:r>
      <w:r>
        <w:rPr>
          <w:rFonts w:hint="eastAsia" w:cs="Times New Roman"/>
        </w:rPr>
        <w:t xml:space="preserve"> hm</w:t>
      </w:r>
      <w:r>
        <w:rPr>
          <w:rFonts w:hint="eastAsia" w:cs="Times New Roman"/>
          <w:vertAlign w:val="superscript"/>
        </w:rPr>
        <w:t>2</w:t>
      </w:r>
      <w:r>
        <w:rPr>
          <w:rFonts w:hint="eastAsia" w:cs="Times New Roman"/>
        </w:rPr>
        <w:t>，水土流失总治理度为</w:t>
      </w:r>
      <w:r>
        <w:rPr>
          <w:rFonts w:hint="eastAsia" w:cs="Times New Roman"/>
          <w:lang w:eastAsia="zh-CN"/>
        </w:rPr>
        <w:t>99.63</w:t>
      </w:r>
      <w:r>
        <w:rPr>
          <w:rFonts w:hint="eastAsia" w:cs="Times New Roman"/>
        </w:rPr>
        <w:t>%，达到批复的水土保持方案确定的防治目标值97%</w:t>
      </w:r>
      <w:r>
        <w:rPr>
          <w:rFonts w:cs="Times New Roman"/>
        </w:rPr>
        <w:t>。</w:t>
      </w:r>
    </w:p>
    <w:p>
      <w:pPr>
        <w:pStyle w:val="24"/>
        <w:rPr>
          <w:rFonts w:cs="Times New Roman"/>
        </w:rPr>
      </w:pPr>
      <w:r>
        <w:rPr>
          <w:rFonts w:cs="Times New Roman"/>
        </w:rPr>
        <w:t>表</w:t>
      </w:r>
      <w:r>
        <w:rPr>
          <w:rFonts w:hint="eastAsia" w:cs="Times New Roman"/>
        </w:rPr>
        <w:t>6.2-1</w:t>
      </w:r>
      <w:r>
        <w:rPr>
          <w:rFonts w:cs="Times New Roman"/>
        </w:rPr>
        <w:t xml:space="preserve">  各分区水土流失</w:t>
      </w:r>
      <w:r>
        <w:rPr>
          <w:rFonts w:hint="eastAsia" w:cs="Times New Roman"/>
        </w:rPr>
        <w:t>总</w:t>
      </w:r>
      <w:r>
        <w:rPr>
          <w:rFonts w:cs="Times New Roman"/>
        </w:rPr>
        <w:t>治理度一览表（单位：hm</w:t>
      </w:r>
      <w:r>
        <w:rPr>
          <w:rFonts w:cs="Times New Roman"/>
          <w:vertAlign w:val="superscript"/>
        </w:rPr>
        <w:t>2</w:t>
      </w:r>
      <w:r>
        <w:rPr>
          <w:rFonts w:cs="Times New Roman"/>
        </w:rPr>
        <w:t>）</w:t>
      </w:r>
    </w:p>
    <w:tbl>
      <w:tblPr>
        <w:tblStyle w:val="13"/>
        <w:tblW w:w="4996"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529"/>
        <w:gridCol w:w="1038"/>
        <w:gridCol w:w="1135"/>
        <w:gridCol w:w="903"/>
        <w:gridCol w:w="903"/>
        <w:gridCol w:w="903"/>
        <w:gridCol w:w="903"/>
        <w:gridCol w:w="903"/>
        <w:gridCol w:w="973"/>
        <w:gridCol w:w="903"/>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291" w:type="pct"/>
            <w:vMerge w:val="restart"/>
            <w:tcBorders>
              <w:tl2br w:val="nil"/>
              <w:tr2bl w:val="nil"/>
            </w:tcBorders>
            <w:shd w:val="clear" w:color="auto" w:fill="auto"/>
            <w:tcMar>
              <w:top w:w="15" w:type="dxa"/>
              <w:left w:w="15" w:type="dxa"/>
              <w:right w:w="15" w:type="dxa"/>
            </w:tcMar>
            <w:vAlign w:val="center"/>
          </w:tcPr>
          <w:p>
            <w:pPr>
              <w:pStyle w:val="23"/>
              <w:rPr>
                <w:color w:val="auto"/>
                <w:highlight w:val="none"/>
              </w:rPr>
            </w:pPr>
            <w:bookmarkStart w:id="97" w:name="_Toc28865"/>
            <w:r>
              <w:rPr>
                <w:color w:val="auto"/>
                <w:highlight w:val="none"/>
              </w:rPr>
              <w:t>序号</w:t>
            </w:r>
          </w:p>
        </w:tc>
        <w:tc>
          <w:tcPr>
            <w:tcW w:w="571" w:type="pct"/>
            <w:vMerge w:val="restart"/>
            <w:tcBorders>
              <w:tl2br w:val="nil"/>
              <w:tr2bl w:val="nil"/>
            </w:tcBorders>
            <w:shd w:val="clear" w:color="auto" w:fill="auto"/>
            <w:tcMar>
              <w:top w:w="15" w:type="dxa"/>
              <w:left w:w="15" w:type="dxa"/>
              <w:right w:w="15" w:type="dxa"/>
            </w:tcMar>
            <w:vAlign w:val="center"/>
          </w:tcPr>
          <w:p>
            <w:pPr>
              <w:pStyle w:val="23"/>
              <w:rPr>
                <w:color w:val="auto"/>
                <w:highlight w:val="none"/>
              </w:rPr>
            </w:pPr>
            <w:r>
              <w:rPr>
                <w:color w:val="auto"/>
                <w:highlight w:val="none"/>
              </w:rPr>
              <w:t>防治分区</w:t>
            </w:r>
          </w:p>
        </w:tc>
        <w:tc>
          <w:tcPr>
            <w:tcW w:w="624" w:type="pct"/>
            <w:vMerge w:val="restart"/>
            <w:tcBorders>
              <w:tl2br w:val="nil"/>
              <w:tr2bl w:val="nil"/>
            </w:tcBorders>
            <w:shd w:val="clear" w:color="auto" w:fill="auto"/>
            <w:tcMar>
              <w:top w:w="15" w:type="dxa"/>
              <w:left w:w="15" w:type="dxa"/>
              <w:right w:w="15" w:type="dxa"/>
            </w:tcMar>
            <w:vAlign w:val="center"/>
          </w:tcPr>
          <w:p>
            <w:pPr>
              <w:pStyle w:val="23"/>
              <w:rPr>
                <w:color w:val="auto"/>
                <w:highlight w:val="none"/>
              </w:rPr>
            </w:pPr>
            <w:r>
              <w:rPr>
                <w:color w:val="auto"/>
                <w:highlight w:val="none"/>
              </w:rPr>
              <w:t>项目建设区</w:t>
            </w:r>
          </w:p>
        </w:tc>
        <w:tc>
          <w:tcPr>
            <w:tcW w:w="496" w:type="pct"/>
            <w:vMerge w:val="restart"/>
            <w:tcBorders>
              <w:tl2br w:val="nil"/>
              <w:tr2bl w:val="nil"/>
            </w:tcBorders>
            <w:shd w:val="clear" w:color="auto" w:fill="auto"/>
            <w:tcMar>
              <w:top w:w="15" w:type="dxa"/>
              <w:left w:w="15" w:type="dxa"/>
              <w:right w:w="15" w:type="dxa"/>
            </w:tcMar>
            <w:vAlign w:val="center"/>
          </w:tcPr>
          <w:p>
            <w:pPr>
              <w:pStyle w:val="23"/>
              <w:rPr>
                <w:color w:val="auto"/>
                <w:highlight w:val="none"/>
              </w:rPr>
            </w:pPr>
            <w:r>
              <w:rPr>
                <w:color w:val="auto"/>
                <w:highlight w:val="none"/>
              </w:rPr>
              <w:t>扰动面积</w:t>
            </w:r>
          </w:p>
        </w:tc>
        <w:tc>
          <w:tcPr>
            <w:tcW w:w="496" w:type="pct"/>
            <w:vMerge w:val="restart"/>
            <w:tcBorders>
              <w:tl2br w:val="nil"/>
              <w:tr2bl w:val="nil"/>
            </w:tcBorders>
            <w:shd w:val="clear" w:color="auto" w:fill="auto"/>
            <w:tcMar>
              <w:top w:w="15" w:type="dxa"/>
              <w:left w:w="15" w:type="dxa"/>
              <w:right w:w="15" w:type="dxa"/>
            </w:tcMar>
            <w:vAlign w:val="center"/>
          </w:tcPr>
          <w:p>
            <w:pPr>
              <w:pStyle w:val="23"/>
              <w:rPr>
                <w:color w:val="auto"/>
                <w:highlight w:val="none"/>
              </w:rPr>
            </w:pPr>
            <w:r>
              <w:rPr>
                <w:color w:val="auto"/>
                <w:highlight w:val="none"/>
              </w:rPr>
              <w:t>硬化及建筑物面积</w:t>
            </w:r>
          </w:p>
        </w:tc>
        <w:tc>
          <w:tcPr>
            <w:tcW w:w="496" w:type="pct"/>
            <w:vMerge w:val="restart"/>
            <w:tcBorders>
              <w:tl2br w:val="nil"/>
              <w:tr2bl w:val="nil"/>
            </w:tcBorders>
            <w:shd w:val="clear" w:color="auto" w:fill="auto"/>
            <w:tcMar>
              <w:top w:w="15" w:type="dxa"/>
              <w:left w:w="15" w:type="dxa"/>
              <w:right w:w="15" w:type="dxa"/>
            </w:tcMar>
            <w:vAlign w:val="center"/>
          </w:tcPr>
          <w:p>
            <w:pPr>
              <w:pStyle w:val="23"/>
              <w:rPr>
                <w:color w:val="auto"/>
                <w:highlight w:val="none"/>
              </w:rPr>
            </w:pPr>
            <w:r>
              <w:rPr>
                <w:rFonts w:hint="eastAsia"/>
                <w:color w:val="auto"/>
                <w:highlight w:val="none"/>
              </w:rPr>
              <w:t>水土流失面积</w:t>
            </w:r>
          </w:p>
        </w:tc>
        <w:tc>
          <w:tcPr>
            <w:tcW w:w="1527" w:type="pct"/>
            <w:gridSpan w:val="3"/>
            <w:tcBorders>
              <w:tl2br w:val="nil"/>
              <w:tr2bl w:val="nil"/>
            </w:tcBorders>
            <w:shd w:val="clear" w:color="auto" w:fill="auto"/>
            <w:tcMar>
              <w:top w:w="15" w:type="dxa"/>
              <w:left w:w="15" w:type="dxa"/>
              <w:right w:w="15" w:type="dxa"/>
            </w:tcMar>
            <w:vAlign w:val="center"/>
          </w:tcPr>
          <w:p>
            <w:pPr>
              <w:pStyle w:val="23"/>
              <w:rPr>
                <w:color w:val="auto"/>
                <w:highlight w:val="none"/>
              </w:rPr>
            </w:pPr>
            <w:r>
              <w:rPr>
                <w:color w:val="auto"/>
                <w:highlight w:val="none"/>
              </w:rPr>
              <w:t>水土流失治理面积</w:t>
            </w:r>
          </w:p>
        </w:tc>
        <w:tc>
          <w:tcPr>
            <w:tcW w:w="496" w:type="pct"/>
            <w:vMerge w:val="restart"/>
            <w:tcBorders>
              <w:tl2br w:val="nil"/>
              <w:tr2bl w:val="nil"/>
            </w:tcBorders>
            <w:shd w:val="clear" w:color="auto" w:fill="auto"/>
            <w:tcMar>
              <w:top w:w="15" w:type="dxa"/>
              <w:left w:w="15" w:type="dxa"/>
              <w:right w:w="15" w:type="dxa"/>
            </w:tcMar>
            <w:vAlign w:val="center"/>
          </w:tcPr>
          <w:p>
            <w:pPr>
              <w:pStyle w:val="23"/>
              <w:rPr>
                <w:color w:val="auto"/>
                <w:highlight w:val="none"/>
              </w:rPr>
            </w:pPr>
            <w:r>
              <w:rPr>
                <w:rFonts w:hint="eastAsia"/>
                <w:color w:val="auto"/>
                <w:highlight w:val="none"/>
              </w:rPr>
              <w:t>水土流失总治理度</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291" w:type="pct"/>
            <w:vMerge w:val="continue"/>
            <w:tcBorders>
              <w:tl2br w:val="nil"/>
              <w:tr2bl w:val="nil"/>
            </w:tcBorders>
            <w:shd w:val="clear" w:color="auto" w:fill="auto"/>
            <w:tcMar>
              <w:top w:w="15" w:type="dxa"/>
              <w:left w:w="15" w:type="dxa"/>
              <w:right w:w="15" w:type="dxa"/>
            </w:tcMar>
            <w:vAlign w:val="center"/>
          </w:tcPr>
          <w:p>
            <w:pPr>
              <w:pStyle w:val="23"/>
              <w:rPr>
                <w:color w:val="auto"/>
                <w:highlight w:val="none"/>
              </w:rPr>
            </w:pPr>
          </w:p>
        </w:tc>
        <w:tc>
          <w:tcPr>
            <w:tcW w:w="571" w:type="pct"/>
            <w:vMerge w:val="continue"/>
            <w:tcBorders>
              <w:tl2br w:val="nil"/>
              <w:tr2bl w:val="nil"/>
            </w:tcBorders>
            <w:shd w:val="clear" w:color="auto" w:fill="auto"/>
            <w:tcMar>
              <w:top w:w="15" w:type="dxa"/>
              <w:left w:w="15" w:type="dxa"/>
              <w:right w:w="15" w:type="dxa"/>
            </w:tcMar>
            <w:vAlign w:val="center"/>
          </w:tcPr>
          <w:p>
            <w:pPr>
              <w:pStyle w:val="23"/>
              <w:rPr>
                <w:color w:val="auto"/>
                <w:highlight w:val="none"/>
              </w:rPr>
            </w:pPr>
          </w:p>
        </w:tc>
        <w:tc>
          <w:tcPr>
            <w:tcW w:w="624" w:type="pct"/>
            <w:vMerge w:val="continue"/>
            <w:tcBorders>
              <w:tl2br w:val="nil"/>
              <w:tr2bl w:val="nil"/>
            </w:tcBorders>
            <w:shd w:val="clear" w:color="auto" w:fill="auto"/>
            <w:tcMar>
              <w:top w:w="15" w:type="dxa"/>
              <w:left w:w="15" w:type="dxa"/>
              <w:right w:w="15" w:type="dxa"/>
            </w:tcMar>
            <w:vAlign w:val="center"/>
          </w:tcPr>
          <w:p>
            <w:pPr>
              <w:pStyle w:val="23"/>
              <w:rPr>
                <w:color w:val="auto"/>
                <w:highlight w:val="none"/>
              </w:rPr>
            </w:pPr>
          </w:p>
        </w:tc>
        <w:tc>
          <w:tcPr>
            <w:tcW w:w="496" w:type="pct"/>
            <w:vMerge w:val="continue"/>
            <w:tcBorders>
              <w:tl2br w:val="nil"/>
              <w:tr2bl w:val="nil"/>
            </w:tcBorders>
            <w:shd w:val="clear" w:color="auto" w:fill="auto"/>
            <w:tcMar>
              <w:top w:w="15" w:type="dxa"/>
              <w:left w:w="15" w:type="dxa"/>
              <w:right w:w="15" w:type="dxa"/>
            </w:tcMar>
            <w:vAlign w:val="center"/>
          </w:tcPr>
          <w:p>
            <w:pPr>
              <w:pStyle w:val="23"/>
              <w:rPr>
                <w:color w:val="auto"/>
                <w:highlight w:val="none"/>
              </w:rPr>
            </w:pPr>
          </w:p>
        </w:tc>
        <w:tc>
          <w:tcPr>
            <w:tcW w:w="496" w:type="pct"/>
            <w:vMerge w:val="continue"/>
            <w:tcBorders>
              <w:tl2br w:val="nil"/>
              <w:tr2bl w:val="nil"/>
            </w:tcBorders>
            <w:shd w:val="clear" w:color="auto" w:fill="auto"/>
            <w:tcMar>
              <w:top w:w="15" w:type="dxa"/>
              <w:left w:w="15" w:type="dxa"/>
              <w:right w:w="15" w:type="dxa"/>
            </w:tcMar>
            <w:vAlign w:val="center"/>
          </w:tcPr>
          <w:p>
            <w:pPr>
              <w:pStyle w:val="23"/>
              <w:rPr>
                <w:color w:val="auto"/>
                <w:highlight w:val="none"/>
              </w:rPr>
            </w:pPr>
          </w:p>
        </w:tc>
        <w:tc>
          <w:tcPr>
            <w:tcW w:w="496" w:type="pct"/>
            <w:vMerge w:val="continue"/>
            <w:tcBorders>
              <w:tl2br w:val="nil"/>
              <w:tr2bl w:val="nil"/>
            </w:tcBorders>
            <w:shd w:val="clear" w:color="auto" w:fill="auto"/>
            <w:tcMar>
              <w:top w:w="15" w:type="dxa"/>
              <w:left w:w="15" w:type="dxa"/>
              <w:right w:w="15" w:type="dxa"/>
            </w:tcMar>
            <w:vAlign w:val="center"/>
          </w:tcPr>
          <w:p>
            <w:pPr>
              <w:pStyle w:val="23"/>
              <w:rPr>
                <w:color w:val="auto"/>
                <w:highlight w:val="none"/>
              </w:rPr>
            </w:pPr>
          </w:p>
        </w:tc>
        <w:tc>
          <w:tcPr>
            <w:tcW w:w="496" w:type="pct"/>
            <w:tcBorders>
              <w:tl2br w:val="nil"/>
              <w:tr2bl w:val="nil"/>
            </w:tcBorders>
            <w:shd w:val="clear" w:color="auto" w:fill="auto"/>
            <w:tcMar>
              <w:top w:w="15" w:type="dxa"/>
              <w:left w:w="15" w:type="dxa"/>
              <w:right w:w="15" w:type="dxa"/>
            </w:tcMar>
            <w:vAlign w:val="center"/>
          </w:tcPr>
          <w:p>
            <w:pPr>
              <w:pStyle w:val="23"/>
              <w:rPr>
                <w:color w:val="auto"/>
                <w:highlight w:val="none"/>
              </w:rPr>
            </w:pPr>
            <w:r>
              <w:rPr>
                <w:color w:val="auto"/>
                <w:highlight w:val="none"/>
              </w:rPr>
              <w:t>工程措施</w:t>
            </w:r>
          </w:p>
        </w:tc>
        <w:tc>
          <w:tcPr>
            <w:tcW w:w="496" w:type="pct"/>
            <w:tcBorders>
              <w:tl2br w:val="nil"/>
              <w:tr2bl w:val="nil"/>
            </w:tcBorders>
            <w:shd w:val="clear" w:color="auto" w:fill="auto"/>
            <w:tcMar>
              <w:top w:w="15" w:type="dxa"/>
              <w:left w:w="15" w:type="dxa"/>
              <w:right w:w="15" w:type="dxa"/>
            </w:tcMar>
            <w:vAlign w:val="center"/>
          </w:tcPr>
          <w:p>
            <w:pPr>
              <w:pStyle w:val="23"/>
              <w:rPr>
                <w:color w:val="auto"/>
                <w:highlight w:val="none"/>
              </w:rPr>
            </w:pPr>
            <w:r>
              <w:rPr>
                <w:color w:val="auto"/>
                <w:highlight w:val="none"/>
              </w:rPr>
              <w:t>植物措施</w:t>
            </w:r>
          </w:p>
        </w:tc>
        <w:tc>
          <w:tcPr>
            <w:tcW w:w="534" w:type="pct"/>
            <w:tcBorders>
              <w:tl2br w:val="nil"/>
              <w:tr2bl w:val="nil"/>
            </w:tcBorders>
            <w:shd w:val="clear" w:color="auto" w:fill="auto"/>
            <w:tcMar>
              <w:top w:w="15" w:type="dxa"/>
              <w:left w:w="15" w:type="dxa"/>
              <w:right w:w="15" w:type="dxa"/>
            </w:tcMar>
            <w:vAlign w:val="center"/>
          </w:tcPr>
          <w:p>
            <w:pPr>
              <w:pStyle w:val="23"/>
              <w:rPr>
                <w:color w:val="auto"/>
                <w:highlight w:val="none"/>
              </w:rPr>
            </w:pPr>
            <w:r>
              <w:rPr>
                <w:color w:val="auto"/>
                <w:highlight w:val="none"/>
              </w:rPr>
              <w:t>小计</w:t>
            </w:r>
          </w:p>
        </w:tc>
        <w:tc>
          <w:tcPr>
            <w:tcW w:w="496" w:type="pct"/>
            <w:vMerge w:val="continue"/>
            <w:tcBorders>
              <w:tl2br w:val="nil"/>
              <w:tr2bl w:val="nil"/>
            </w:tcBorders>
            <w:shd w:val="clear" w:color="auto" w:fill="auto"/>
            <w:tcMar>
              <w:top w:w="15" w:type="dxa"/>
              <w:left w:w="15" w:type="dxa"/>
              <w:right w:w="15" w:type="dxa"/>
            </w:tcMar>
            <w:vAlign w:val="center"/>
          </w:tcPr>
          <w:p>
            <w:pPr>
              <w:pStyle w:val="23"/>
              <w:rPr>
                <w:color w:val="auto"/>
                <w:highlight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291" w:type="pct"/>
            <w:tcBorders>
              <w:tl2br w:val="nil"/>
              <w:tr2bl w:val="nil"/>
            </w:tcBorders>
            <w:shd w:val="clear" w:color="auto" w:fill="auto"/>
            <w:noWrap/>
            <w:tcMar>
              <w:top w:w="15" w:type="dxa"/>
              <w:left w:w="15" w:type="dxa"/>
              <w:right w:w="15" w:type="dxa"/>
            </w:tcMar>
            <w:vAlign w:val="center"/>
          </w:tcPr>
          <w:p>
            <w:pPr>
              <w:pStyle w:val="23"/>
              <w:rPr>
                <w:color w:val="auto"/>
                <w:highlight w:val="none"/>
              </w:rPr>
            </w:pPr>
            <w:r>
              <w:rPr>
                <w:color w:val="auto"/>
                <w:highlight w:val="none"/>
              </w:rPr>
              <w:t>1</w:t>
            </w:r>
          </w:p>
        </w:tc>
        <w:tc>
          <w:tcPr>
            <w:tcW w:w="571" w:type="pct"/>
            <w:tcBorders>
              <w:tl2br w:val="nil"/>
              <w:tr2bl w:val="nil"/>
            </w:tcBorders>
            <w:shd w:val="clear" w:color="auto" w:fill="auto"/>
            <w:tcMar>
              <w:top w:w="15" w:type="dxa"/>
              <w:left w:w="15" w:type="dxa"/>
              <w:right w:w="15" w:type="dxa"/>
            </w:tcMar>
            <w:vAlign w:val="center"/>
          </w:tcPr>
          <w:p>
            <w:pPr>
              <w:pStyle w:val="23"/>
              <w:rPr>
                <w:rFonts w:hint="eastAsia" w:eastAsia="仿宋"/>
                <w:color w:val="auto"/>
                <w:highlight w:val="none"/>
                <w:lang w:eastAsia="zh-CN"/>
              </w:rPr>
            </w:pPr>
            <w:r>
              <w:rPr>
                <w:rFonts w:hint="eastAsia"/>
                <w:color w:val="auto"/>
                <w:highlight w:val="none"/>
                <w:lang w:eastAsia="zh-CN"/>
              </w:rPr>
              <w:t>建构筑物防治区</w:t>
            </w:r>
          </w:p>
        </w:tc>
        <w:tc>
          <w:tcPr>
            <w:tcW w:w="1136" w:type="dxa"/>
            <w:tcBorders>
              <w:tl2br w:val="nil"/>
              <w:tr2bl w:val="nil"/>
            </w:tcBorders>
            <w:shd w:val="clear" w:color="auto" w:fill="auto"/>
            <w:tcMar>
              <w:top w:w="15" w:type="dxa"/>
              <w:left w:w="15" w:type="dxa"/>
              <w:right w:w="15" w:type="dxa"/>
            </w:tcMar>
            <w:vAlign w:val="center"/>
          </w:tcPr>
          <w:p>
            <w:pPr>
              <w:pStyle w:val="23"/>
              <w:bidi w:val="0"/>
              <w:rPr>
                <w:color w:val="auto"/>
                <w:highlight w:val="none"/>
              </w:rPr>
            </w:pPr>
            <w:r>
              <w:rPr>
                <w:rFonts w:hint="default"/>
                <w:color w:val="auto"/>
                <w:highlight w:val="none"/>
                <w:lang w:val="en-US" w:eastAsia="zh-CN"/>
              </w:rPr>
              <w:t xml:space="preserve">2.77 </w:t>
            </w:r>
          </w:p>
        </w:tc>
        <w:tc>
          <w:tcPr>
            <w:tcW w:w="903" w:type="dxa"/>
            <w:tcBorders>
              <w:tl2br w:val="nil"/>
              <w:tr2bl w:val="nil"/>
            </w:tcBorders>
            <w:shd w:val="clear" w:color="auto" w:fill="auto"/>
            <w:tcMar>
              <w:top w:w="15" w:type="dxa"/>
              <w:left w:w="15" w:type="dxa"/>
              <w:right w:w="15" w:type="dxa"/>
            </w:tcMar>
            <w:vAlign w:val="center"/>
          </w:tcPr>
          <w:p>
            <w:pPr>
              <w:pStyle w:val="23"/>
              <w:bidi w:val="0"/>
              <w:rPr>
                <w:color w:val="auto"/>
                <w:highlight w:val="none"/>
              </w:rPr>
            </w:pPr>
            <w:r>
              <w:rPr>
                <w:rFonts w:hint="default"/>
                <w:color w:val="auto"/>
                <w:highlight w:val="none"/>
                <w:lang w:val="en-US" w:eastAsia="zh-CN"/>
              </w:rPr>
              <w:t xml:space="preserve">2.77 </w:t>
            </w:r>
          </w:p>
        </w:tc>
        <w:tc>
          <w:tcPr>
            <w:tcW w:w="903" w:type="dxa"/>
            <w:tcBorders>
              <w:tl2br w:val="nil"/>
              <w:tr2bl w:val="nil"/>
            </w:tcBorders>
            <w:shd w:val="clear" w:color="auto" w:fill="auto"/>
            <w:tcMar>
              <w:top w:w="15" w:type="dxa"/>
              <w:left w:w="15" w:type="dxa"/>
              <w:right w:w="15" w:type="dxa"/>
            </w:tcMar>
            <w:vAlign w:val="center"/>
          </w:tcPr>
          <w:p>
            <w:pPr>
              <w:pStyle w:val="23"/>
              <w:bidi w:val="0"/>
              <w:rPr>
                <w:color w:val="auto"/>
                <w:highlight w:val="none"/>
              </w:rPr>
            </w:pPr>
            <w:r>
              <w:rPr>
                <w:rFonts w:hint="default"/>
                <w:color w:val="auto"/>
                <w:highlight w:val="none"/>
                <w:lang w:val="en-US" w:eastAsia="zh-CN"/>
              </w:rPr>
              <w:t xml:space="preserve">2.76 </w:t>
            </w:r>
          </w:p>
        </w:tc>
        <w:tc>
          <w:tcPr>
            <w:tcW w:w="903" w:type="dxa"/>
            <w:tcBorders>
              <w:tl2br w:val="nil"/>
              <w:tr2bl w:val="nil"/>
            </w:tcBorders>
            <w:shd w:val="clear" w:color="auto" w:fill="auto"/>
            <w:tcMar>
              <w:top w:w="15" w:type="dxa"/>
              <w:left w:w="15" w:type="dxa"/>
              <w:right w:w="15" w:type="dxa"/>
            </w:tcMar>
            <w:vAlign w:val="center"/>
          </w:tcPr>
          <w:p>
            <w:pPr>
              <w:pStyle w:val="23"/>
              <w:bidi w:val="0"/>
              <w:rPr>
                <w:color w:val="auto"/>
                <w:highlight w:val="none"/>
              </w:rPr>
            </w:pPr>
            <w:r>
              <w:rPr>
                <w:rFonts w:hint="default"/>
                <w:color w:val="auto"/>
                <w:highlight w:val="none"/>
                <w:lang w:val="en-US" w:eastAsia="zh-CN"/>
              </w:rPr>
              <w:t xml:space="preserve">0.01 </w:t>
            </w:r>
          </w:p>
        </w:tc>
        <w:tc>
          <w:tcPr>
            <w:tcW w:w="903" w:type="dxa"/>
            <w:tcBorders>
              <w:tl2br w:val="nil"/>
              <w:tr2bl w:val="nil"/>
            </w:tcBorders>
            <w:shd w:val="clear" w:color="auto" w:fill="auto"/>
            <w:tcMar>
              <w:top w:w="15" w:type="dxa"/>
              <w:left w:w="15" w:type="dxa"/>
              <w:right w:w="15" w:type="dxa"/>
            </w:tcMar>
            <w:vAlign w:val="center"/>
          </w:tcPr>
          <w:p>
            <w:pPr>
              <w:pStyle w:val="23"/>
              <w:bidi w:val="0"/>
              <w:rPr>
                <w:color w:val="auto"/>
                <w:highlight w:val="none"/>
              </w:rPr>
            </w:pPr>
            <w:r>
              <w:rPr>
                <w:rFonts w:hint="default"/>
                <w:color w:val="auto"/>
                <w:highlight w:val="none"/>
                <w:lang w:val="en-US" w:eastAsia="zh-CN"/>
              </w:rPr>
              <w:t xml:space="preserve">0.01 </w:t>
            </w:r>
          </w:p>
        </w:tc>
        <w:tc>
          <w:tcPr>
            <w:tcW w:w="903" w:type="dxa"/>
            <w:tcBorders>
              <w:tl2br w:val="nil"/>
              <w:tr2bl w:val="nil"/>
            </w:tcBorders>
            <w:shd w:val="clear" w:color="auto" w:fill="auto"/>
            <w:tcMar>
              <w:top w:w="15" w:type="dxa"/>
              <w:left w:w="15" w:type="dxa"/>
              <w:right w:w="15" w:type="dxa"/>
            </w:tcMar>
            <w:vAlign w:val="center"/>
          </w:tcPr>
          <w:p>
            <w:pPr>
              <w:pStyle w:val="23"/>
              <w:bidi w:val="0"/>
              <w:rPr>
                <w:color w:val="auto"/>
                <w:highlight w:val="none"/>
              </w:rPr>
            </w:pPr>
            <w:r>
              <w:rPr>
                <w:rFonts w:hint="default"/>
                <w:color w:val="auto"/>
                <w:highlight w:val="none"/>
                <w:lang w:val="en-US" w:eastAsia="zh-CN"/>
              </w:rPr>
              <w:t xml:space="preserve">0.00 </w:t>
            </w:r>
          </w:p>
        </w:tc>
        <w:tc>
          <w:tcPr>
            <w:tcW w:w="974" w:type="dxa"/>
            <w:tcBorders>
              <w:tl2br w:val="nil"/>
              <w:tr2bl w:val="nil"/>
            </w:tcBorders>
            <w:shd w:val="clear" w:color="auto" w:fill="auto"/>
            <w:tcMar>
              <w:top w:w="15" w:type="dxa"/>
              <w:left w:w="15" w:type="dxa"/>
              <w:right w:w="15" w:type="dxa"/>
            </w:tcMar>
            <w:vAlign w:val="center"/>
          </w:tcPr>
          <w:p>
            <w:pPr>
              <w:pStyle w:val="23"/>
              <w:bidi w:val="0"/>
              <w:rPr>
                <w:color w:val="auto"/>
                <w:highlight w:val="none"/>
              </w:rPr>
            </w:pPr>
            <w:r>
              <w:rPr>
                <w:rFonts w:hint="default"/>
                <w:color w:val="auto"/>
                <w:highlight w:val="none"/>
                <w:lang w:val="en-US" w:eastAsia="zh-CN"/>
              </w:rPr>
              <w:t xml:space="preserve">0.01 </w:t>
            </w:r>
          </w:p>
        </w:tc>
        <w:tc>
          <w:tcPr>
            <w:tcW w:w="903" w:type="dxa"/>
            <w:tcBorders>
              <w:tl2br w:val="nil"/>
              <w:tr2bl w:val="nil"/>
            </w:tcBorders>
            <w:shd w:val="clear" w:color="auto" w:fill="auto"/>
            <w:tcMar>
              <w:top w:w="15" w:type="dxa"/>
              <w:left w:w="15" w:type="dxa"/>
              <w:right w:w="15" w:type="dxa"/>
            </w:tcMar>
            <w:vAlign w:val="center"/>
          </w:tcPr>
          <w:p>
            <w:pPr>
              <w:pStyle w:val="23"/>
              <w:bidi w:val="0"/>
              <w:rPr>
                <w:color w:val="auto"/>
                <w:highlight w:val="none"/>
              </w:rPr>
            </w:pPr>
            <w:r>
              <w:rPr>
                <w:rFonts w:hint="default"/>
                <w:color w:val="auto"/>
                <w:highlight w:val="none"/>
                <w:lang w:val="en-US" w:eastAsia="zh-CN"/>
              </w:rPr>
              <w:t>100.00%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291" w:type="pct"/>
            <w:tcBorders>
              <w:tl2br w:val="nil"/>
              <w:tr2bl w:val="nil"/>
            </w:tcBorders>
            <w:shd w:val="clear" w:color="auto" w:fill="auto"/>
            <w:noWrap/>
            <w:tcMar>
              <w:top w:w="15" w:type="dxa"/>
              <w:left w:w="15" w:type="dxa"/>
              <w:right w:w="15" w:type="dxa"/>
            </w:tcMar>
            <w:vAlign w:val="center"/>
          </w:tcPr>
          <w:p>
            <w:pPr>
              <w:pStyle w:val="23"/>
              <w:rPr>
                <w:color w:val="auto"/>
                <w:highlight w:val="none"/>
              </w:rPr>
            </w:pPr>
            <w:r>
              <w:rPr>
                <w:color w:val="auto"/>
                <w:highlight w:val="none"/>
              </w:rPr>
              <w:t>2</w:t>
            </w:r>
          </w:p>
        </w:tc>
        <w:tc>
          <w:tcPr>
            <w:tcW w:w="571" w:type="pct"/>
            <w:tcBorders>
              <w:tl2br w:val="nil"/>
              <w:tr2bl w:val="nil"/>
            </w:tcBorders>
            <w:shd w:val="clear" w:color="auto" w:fill="auto"/>
            <w:tcMar>
              <w:top w:w="15" w:type="dxa"/>
              <w:left w:w="15" w:type="dxa"/>
              <w:right w:w="15" w:type="dxa"/>
            </w:tcMar>
            <w:vAlign w:val="center"/>
          </w:tcPr>
          <w:p>
            <w:pPr>
              <w:pStyle w:val="23"/>
              <w:rPr>
                <w:rFonts w:hint="eastAsia" w:eastAsia="仿宋"/>
                <w:color w:val="auto"/>
                <w:highlight w:val="none"/>
                <w:lang w:eastAsia="zh-CN"/>
              </w:rPr>
            </w:pPr>
            <w:r>
              <w:rPr>
                <w:rFonts w:hint="eastAsia"/>
                <w:color w:val="auto"/>
                <w:highlight w:val="none"/>
                <w:lang w:eastAsia="zh-CN"/>
              </w:rPr>
              <w:t>道路及硬化工程防治区</w:t>
            </w:r>
          </w:p>
        </w:tc>
        <w:tc>
          <w:tcPr>
            <w:tcW w:w="1136" w:type="dxa"/>
            <w:tcBorders>
              <w:tl2br w:val="nil"/>
              <w:tr2bl w:val="nil"/>
            </w:tcBorders>
            <w:shd w:val="clear" w:color="auto" w:fill="auto"/>
            <w:tcMar>
              <w:top w:w="15" w:type="dxa"/>
              <w:left w:w="15" w:type="dxa"/>
              <w:right w:w="15" w:type="dxa"/>
            </w:tcMar>
            <w:vAlign w:val="center"/>
          </w:tcPr>
          <w:p>
            <w:pPr>
              <w:pStyle w:val="23"/>
              <w:bidi w:val="0"/>
              <w:rPr>
                <w:color w:val="auto"/>
                <w:highlight w:val="none"/>
              </w:rPr>
            </w:pPr>
            <w:r>
              <w:rPr>
                <w:rFonts w:hint="default"/>
                <w:color w:val="auto"/>
                <w:highlight w:val="none"/>
                <w:lang w:val="en-US" w:eastAsia="zh-CN"/>
              </w:rPr>
              <w:t xml:space="preserve">1.47 </w:t>
            </w:r>
          </w:p>
        </w:tc>
        <w:tc>
          <w:tcPr>
            <w:tcW w:w="903" w:type="dxa"/>
            <w:tcBorders>
              <w:tl2br w:val="nil"/>
              <w:tr2bl w:val="nil"/>
            </w:tcBorders>
            <w:shd w:val="clear" w:color="auto" w:fill="auto"/>
            <w:tcMar>
              <w:top w:w="15" w:type="dxa"/>
              <w:left w:w="15" w:type="dxa"/>
              <w:right w:w="15" w:type="dxa"/>
            </w:tcMar>
            <w:vAlign w:val="center"/>
          </w:tcPr>
          <w:p>
            <w:pPr>
              <w:pStyle w:val="23"/>
              <w:bidi w:val="0"/>
              <w:rPr>
                <w:color w:val="auto"/>
                <w:highlight w:val="none"/>
              </w:rPr>
            </w:pPr>
            <w:r>
              <w:rPr>
                <w:rFonts w:hint="default"/>
                <w:color w:val="auto"/>
                <w:highlight w:val="none"/>
                <w:lang w:val="en-US" w:eastAsia="zh-CN"/>
              </w:rPr>
              <w:t xml:space="preserve">1.47 </w:t>
            </w:r>
          </w:p>
        </w:tc>
        <w:tc>
          <w:tcPr>
            <w:tcW w:w="903" w:type="dxa"/>
            <w:tcBorders>
              <w:tl2br w:val="nil"/>
              <w:tr2bl w:val="nil"/>
            </w:tcBorders>
            <w:shd w:val="clear" w:color="auto" w:fill="auto"/>
            <w:tcMar>
              <w:top w:w="15" w:type="dxa"/>
              <w:left w:w="15" w:type="dxa"/>
              <w:right w:w="15" w:type="dxa"/>
            </w:tcMar>
            <w:vAlign w:val="center"/>
          </w:tcPr>
          <w:p>
            <w:pPr>
              <w:pStyle w:val="23"/>
              <w:bidi w:val="0"/>
              <w:rPr>
                <w:color w:val="auto"/>
                <w:highlight w:val="none"/>
              </w:rPr>
            </w:pPr>
            <w:r>
              <w:rPr>
                <w:rFonts w:hint="default"/>
                <w:color w:val="auto"/>
                <w:highlight w:val="none"/>
                <w:lang w:val="en-US" w:eastAsia="zh-CN"/>
              </w:rPr>
              <w:t xml:space="preserve">1.37 </w:t>
            </w:r>
          </w:p>
        </w:tc>
        <w:tc>
          <w:tcPr>
            <w:tcW w:w="903" w:type="dxa"/>
            <w:tcBorders>
              <w:tl2br w:val="nil"/>
              <w:tr2bl w:val="nil"/>
            </w:tcBorders>
            <w:shd w:val="clear" w:color="auto" w:fill="auto"/>
            <w:tcMar>
              <w:top w:w="15" w:type="dxa"/>
              <w:left w:w="15" w:type="dxa"/>
              <w:right w:w="15" w:type="dxa"/>
            </w:tcMar>
            <w:vAlign w:val="center"/>
          </w:tcPr>
          <w:p>
            <w:pPr>
              <w:pStyle w:val="23"/>
              <w:bidi w:val="0"/>
              <w:rPr>
                <w:color w:val="auto"/>
                <w:highlight w:val="none"/>
              </w:rPr>
            </w:pPr>
            <w:r>
              <w:rPr>
                <w:rFonts w:hint="default"/>
                <w:color w:val="auto"/>
                <w:highlight w:val="none"/>
                <w:lang w:val="en-US" w:eastAsia="zh-CN"/>
              </w:rPr>
              <w:t xml:space="preserve">0.10 </w:t>
            </w:r>
          </w:p>
        </w:tc>
        <w:tc>
          <w:tcPr>
            <w:tcW w:w="903" w:type="dxa"/>
            <w:tcBorders>
              <w:tl2br w:val="nil"/>
              <w:tr2bl w:val="nil"/>
            </w:tcBorders>
            <w:shd w:val="clear" w:color="auto" w:fill="auto"/>
            <w:tcMar>
              <w:top w:w="15" w:type="dxa"/>
              <w:left w:w="15" w:type="dxa"/>
              <w:right w:w="15" w:type="dxa"/>
            </w:tcMar>
            <w:vAlign w:val="center"/>
          </w:tcPr>
          <w:p>
            <w:pPr>
              <w:pStyle w:val="23"/>
              <w:bidi w:val="0"/>
              <w:rPr>
                <w:color w:val="auto"/>
                <w:highlight w:val="none"/>
              </w:rPr>
            </w:pPr>
            <w:r>
              <w:rPr>
                <w:rFonts w:hint="default"/>
                <w:color w:val="auto"/>
                <w:highlight w:val="none"/>
                <w:lang w:val="en-US" w:eastAsia="zh-CN"/>
              </w:rPr>
              <w:t xml:space="preserve">0.00 </w:t>
            </w:r>
          </w:p>
        </w:tc>
        <w:tc>
          <w:tcPr>
            <w:tcW w:w="903" w:type="dxa"/>
            <w:tcBorders>
              <w:tl2br w:val="nil"/>
              <w:tr2bl w:val="nil"/>
            </w:tcBorders>
            <w:shd w:val="clear" w:color="auto" w:fill="auto"/>
            <w:tcMar>
              <w:top w:w="15" w:type="dxa"/>
              <w:left w:w="15" w:type="dxa"/>
              <w:right w:w="15" w:type="dxa"/>
            </w:tcMar>
            <w:vAlign w:val="center"/>
          </w:tcPr>
          <w:p>
            <w:pPr>
              <w:pStyle w:val="23"/>
              <w:bidi w:val="0"/>
              <w:rPr>
                <w:color w:val="auto"/>
                <w:highlight w:val="none"/>
              </w:rPr>
            </w:pPr>
            <w:r>
              <w:rPr>
                <w:rFonts w:hint="default"/>
                <w:color w:val="auto"/>
                <w:highlight w:val="none"/>
                <w:lang w:val="en-US" w:eastAsia="zh-CN"/>
              </w:rPr>
              <w:t xml:space="preserve">0.10 </w:t>
            </w:r>
          </w:p>
        </w:tc>
        <w:tc>
          <w:tcPr>
            <w:tcW w:w="974" w:type="dxa"/>
            <w:tcBorders>
              <w:tl2br w:val="nil"/>
              <w:tr2bl w:val="nil"/>
            </w:tcBorders>
            <w:shd w:val="clear" w:color="auto" w:fill="auto"/>
            <w:tcMar>
              <w:top w:w="15" w:type="dxa"/>
              <w:left w:w="15" w:type="dxa"/>
              <w:right w:w="15" w:type="dxa"/>
            </w:tcMar>
            <w:vAlign w:val="center"/>
          </w:tcPr>
          <w:p>
            <w:pPr>
              <w:pStyle w:val="23"/>
              <w:bidi w:val="0"/>
              <w:rPr>
                <w:color w:val="auto"/>
                <w:highlight w:val="none"/>
              </w:rPr>
            </w:pPr>
            <w:r>
              <w:rPr>
                <w:rFonts w:hint="default"/>
                <w:color w:val="auto"/>
                <w:highlight w:val="none"/>
                <w:lang w:val="en-US" w:eastAsia="zh-CN"/>
              </w:rPr>
              <w:t xml:space="preserve">0.10 </w:t>
            </w:r>
          </w:p>
        </w:tc>
        <w:tc>
          <w:tcPr>
            <w:tcW w:w="903" w:type="dxa"/>
            <w:tcBorders>
              <w:tl2br w:val="nil"/>
              <w:tr2bl w:val="nil"/>
            </w:tcBorders>
            <w:shd w:val="clear" w:color="auto" w:fill="auto"/>
            <w:tcMar>
              <w:top w:w="15" w:type="dxa"/>
              <w:left w:w="15" w:type="dxa"/>
              <w:right w:w="15" w:type="dxa"/>
            </w:tcMar>
            <w:vAlign w:val="center"/>
          </w:tcPr>
          <w:p>
            <w:pPr>
              <w:pStyle w:val="23"/>
              <w:bidi w:val="0"/>
              <w:rPr>
                <w:color w:val="auto"/>
                <w:highlight w:val="none"/>
              </w:rPr>
            </w:pPr>
            <w:r>
              <w:rPr>
                <w:rFonts w:hint="default"/>
                <w:color w:val="auto"/>
                <w:highlight w:val="none"/>
                <w:lang w:val="en-US" w:eastAsia="zh-CN"/>
              </w:rPr>
              <w:t>99.80%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291" w:type="pct"/>
            <w:tcBorders>
              <w:tl2br w:val="nil"/>
              <w:tr2bl w:val="nil"/>
            </w:tcBorders>
            <w:shd w:val="clear" w:color="auto" w:fill="auto"/>
            <w:noWrap/>
            <w:tcMar>
              <w:top w:w="15" w:type="dxa"/>
              <w:left w:w="15" w:type="dxa"/>
              <w:right w:w="15" w:type="dxa"/>
            </w:tcMar>
            <w:vAlign w:val="center"/>
          </w:tcPr>
          <w:p>
            <w:pPr>
              <w:pStyle w:val="23"/>
              <w:rPr>
                <w:color w:val="auto"/>
                <w:highlight w:val="none"/>
              </w:rPr>
            </w:pPr>
            <w:r>
              <w:rPr>
                <w:color w:val="auto"/>
                <w:highlight w:val="none"/>
              </w:rPr>
              <w:t>3</w:t>
            </w:r>
          </w:p>
        </w:tc>
        <w:tc>
          <w:tcPr>
            <w:tcW w:w="571" w:type="pct"/>
            <w:tcBorders>
              <w:tl2br w:val="nil"/>
              <w:tr2bl w:val="nil"/>
            </w:tcBorders>
            <w:shd w:val="clear" w:color="auto" w:fill="auto"/>
            <w:tcMar>
              <w:top w:w="15" w:type="dxa"/>
              <w:left w:w="15" w:type="dxa"/>
              <w:right w:w="15" w:type="dxa"/>
            </w:tcMar>
            <w:vAlign w:val="center"/>
          </w:tcPr>
          <w:p>
            <w:pPr>
              <w:pStyle w:val="23"/>
              <w:rPr>
                <w:rFonts w:hint="eastAsia" w:eastAsia="仿宋"/>
                <w:color w:val="auto"/>
                <w:highlight w:val="none"/>
                <w:lang w:eastAsia="zh-CN"/>
              </w:rPr>
            </w:pPr>
            <w:r>
              <w:rPr>
                <w:rFonts w:hint="eastAsia"/>
                <w:color w:val="auto"/>
                <w:highlight w:val="none"/>
                <w:lang w:eastAsia="zh-CN"/>
              </w:rPr>
              <w:t>绿化防治区</w:t>
            </w:r>
          </w:p>
        </w:tc>
        <w:tc>
          <w:tcPr>
            <w:tcW w:w="1136" w:type="dxa"/>
            <w:tcBorders>
              <w:tl2br w:val="nil"/>
              <w:tr2bl w:val="nil"/>
            </w:tcBorders>
            <w:shd w:val="clear" w:color="auto" w:fill="auto"/>
            <w:tcMar>
              <w:top w:w="15" w:type="dxa"/>
              <w:left w:w="15" w:type="dxa"/>
              <w:right w:w="15" w:type="dxa"/>
            </w:tcMar>
            <w:vAlign w:val="center"/>
          </w:tcPr>
          <w:p>
            <w:pPr>
              <w:pStyle w:val="23"/>
              <w:bidi w:val="0"/>
              <w:rPr>
                <w:color w:val="auto"/>
                <w:highlight w:val="none"/>
              </w:rPr>
            </w:pPr>
            <w:r>
              <w:rPr>
                <w:rFonts w:hint="default"/>
                <w:color w:val="auto"/>
                <w:highlight w:val="none"/>
                <w:lang w:val="en-US" w:eastAsia="zh-CN"/>
              </w:rPr>
              <w:t xml:space="preserve">0.21 </w:t>
            </w:r>
          </w:p>
        </w:tc>
        <w:tc>
          <w:tcPr>
            <w:tcW w:w="903" w:type="dxa"/>
            <w:tcBorders>
              <w:tl2br w:val="nil"/>
              <w:tr2bl w:val="nil"/>
            </w:tcBorders>
            <w:shd w:val="clear" w:color="auto" w:fill="auto"/>
            <w:tcMar>
              <w:top w:w="15" w:type="dxa"/>
              <w:left w:w="15" w:type="dxa"/>
              <w:right w:w="15" w:type="dxa"/>
            </w:tcMar>
            <w:vAlign w:val="center"/>
          </w:tcPr>
          <w:p>
            <w:pPr>
              <w:pStyle w:val="23"/>
              <w:bidi w:val="0"/>
              <w:rPr>
                <w:color w:val="auto"/>
                <w:highlight w:val="none"/>
              </w:rPr>
            </w:pPr>
            <w:r>
              <w:rPr>
                <w:rFonts w:hint="default"/>
                <w:color w:val="auto"/>
                <w:highlight w:val="none"/>
                <w:lang w:val="en-US" w:eastAsia="zh-CN"/>
              </w:rPr>
              <w:t xml:space="preserve">0.21 </w:t>
            </w:r>
          </w:p>
        </w:tc>
        <w:tc>
          <w:tcPr>
            <w:tcW w:w="903" w:type="dxa"/>
            <w:tcBorders>
              <w:tl2br w:val="nil"/>
              <w:tr2bl w:val="nil"/>
            </w:tcBorders>
            <w:shd w:val="clear" w:color="auto" w:fill="auto"/>
            <w:tcMar>
              <w:top w:w="15" w:type="dxa"/>
              <w:left w:w="15" w:type="dxa"/>
              <w:right w:w="15" w:type="dxa"/>
            </w:tcMar>
            <w:vAlign w:val="center"/>
          </w:tcPr>
          <w:p>
            <w:pPr>
              <w:pStyle w:val="23"/>
              <w:bidi w:val="0"/>
              <w:rPr>
                <w:color w:val="auto"/>
                <w:highlight w:val="none"/>
              </w:rPr>
            </w:pPr>
            <w:r>
              <w:rPr>
                <w:rFonts w:hint="default"/>
                <w:color w:val="auto"/>
                <w:highlight w:val="none"/>
                <w:lang w:val="en-US" w:eastAsia="zh-CN"/>
              </w:rPr>
              <w:t xml:space="preserve">0.00 </w:t>
            </w:r>
          </w:p>
        </w:tc>
        <w:tc>
          <w:tcPr>
            <w:tcW w:w="903" w:type="dxa"/>
            <w:tcBorders>
              <w:tl2br w:val="nil"/>
              <w:tr2bl w:val="nil"/>
            </w:tcBorders>
            <w:shd w:val="clear" w:color="auto" w:fill="auto"/>
            <w:tcMar>
              <w:top w:w="15" w:type="dxa"/>
              <w:left w:w="15" w:type="dxa"/>
              <w:right w:w="15" w:type="dxa"/>
            </w:tcMar>
            <w:vAlign w:val="center"/>
          </w:tcPr>
          <w:p>
            <w:pPr>
              <w:pStyle w:val="23"/>
              <w:bidi w:val="0"/>
              <w:rPr>
                <w:color w:val="auto"/>
                <w:highlight w:val="none"/>
              </w:rPr>
            </w:pPr>
            <w:r>
              <w:rPr>
                <w:rFonts w:hint="default"/>
                <w:color w:val="auto"/>
                <w:highlight w:val="none"/>
                <w:lang w:val="en-US" w:eastAsia="zh-CN"/>
              </w:rPr>
              <w:t xml:space="preserve">0.21 </w:t>
            </w:r>
          </w:p>
        </w:tc>
        <w:tc>
          <w:tcPr>
            <w:tcW w:w="903" w:type="dxa"/>
            <w:tcBorders>
              <w:tl2br w:val="nil"/>
              <w:tr2bl w:val="nil"/>
            </w:tcBorders>
            <w:shd w:val="clear" w:color="auto" w:fill="auto"/>
            <w:tcMar>
              <w:top w:w="15" w:type="dxa"/>
              <w:left w:w="15" w:type="dxa"/>
              <w:right w:w="15" w:type="dxa"/>
            </w:tcMar>
            <w:vAlign w:val="center"/>
          </w:tcPr>
          <w:p>
            <w:pPr>
              <w:pStyle w:val="23"/>
              <w:bidi w:val="0"/>
              <w:rPr>
                <w:color w:val="auto"/>
                <w:highlight w:val="none"/>
              </w:rPr>
            </w:pPr>
            <w:r>
              <w:rPr>
                <w:rFonts w:hint="default"/>
                <w:color w:val="auto"/>
                <w:highlight w:val="none"/>
                <w:lang w:val="en-US" w:eastAsia="zh-CN"/>
              </w:rPr>
              <w:t xml:space="preserve">0.00 </w:t>
            </w:r>
          </w:p>
        </w:tc>
        <w:tc>
          <w:tcPr>
            <w:tcW w:w="903" w:type="dxa"/>
            <w:tcBorders>
              <w:tl2br w:val="nil"/>
              <w:tr2bl w:val="nil"/>
            </w:tcBorders>
            <w:shd w:val="clear" w:color="auto" w:fill="auto"/>
            <w:tcMar>
              <w:top w:w="15" w:type="dxa"/>
              <w:left w:w="15" w:type="dxa"/>
              <w:right w:w="15" w:type="dxa"/>
            </w:tcMar>
            <w:vAlign w:val="center"/>
          </w:tcPr>
          <w:p>
            <w:pPr>
              <w:pStyle w:val="23"/>
              <w:bidi w:val="0"/>
              <w:rPr>
                <w:color w:val="auto"/>
                <w:highlight w:val="none"/>
              </w:rPr>
            </w:pPr>
            <w:r>
              <w:rPr>
                <w:rFonts w:hint="default"/>
                <w:color w:val="auto"/>
                <w:highlight w:val="none"/>
                <w:lang w:val="en-US" w:eastAsia="zh-CN"/>
              </w:rPr>
              <w:t xml:space="preserve">0.21 </w:t>
            </w:r>
          </w:p>
        </w:tc>
        <w:tc>
          <w:tcPr>
            <w:tcW w:w="974" w:type="dxa"/>
            <w:tcBorders>
              <w:tl2br w:val="nil"/>
              <w:tr2bl w:val="nil"/>
            </w:tcBorders>
            <w:shd w:val="clear" w:color="auto" w:fill="auto"/>
            <w:tcMar>
              <w:top w:w="15" w:type="dxa"/>
              <w:left w:w="15" w:type="dxa"/>
              <w:right w:w="15" w:type="dxa"/>
            </w:tcMar>
            <w:vAlign w:val="center"/>
          </w:tcPr>
          <w:p>
            <w:pPr>
              <w:pStyle w:val="23"/>
              <w:bidi w:val="0"/>
              <w:rPr>
                <w:color w:val="auto"/>
                <w:highlight w:val="none"/>
              </w:rPr>
            </w:pPr>
            <w:r>
              <w:rPr>
                <w:rFonts w:hint="default"/>
                <w:color w:val="auto"/>
                <w:highlight w:val="none"/>
                <w:lang w:val="en-US" w:eastAsia="zh-CN"/>
              </w:rPr>
              <w:t xml:space="preserve">0.21 </w:t>
            </w:r>
          </w:p>
        </w:tc>
        <w:tc>
          <w:tcPr>
            <w:tcW w:w="903" w:type="dxa"/>
            <w:tcBorders>
              <w:tl2br w:val="nil"/>
              <w:tr2bl w:val="nil"/>
            </w:tcBorders>
            <w:shd w:val="clear" w:color="auto" w:fill="auto"/>
            <w:tcMar>
              <w:top w:w="15" w:type="dxa"/>
              <w:left w:w="15" w:type="dxa"/>
              <w:right w:w="15" w:type="dxa"/>
            </w:tcMar>
            <w:vAlign w:val="center"/>
          </w:tcPr>
          <w:p>
            <w:pPr>
              <w:pStyle w:val="23"/>
              <w:bidi w:val="0"/>
              <w:rPr>
                <w:color w:val="auto"/>
                <w:highlight w:val="none"/>
              </w:rPr>
            </w:pPr>
            <w:r>
              <w:rPr>
                <w:rFonts w:hint="default"/>
                <w:color w:val="auto"/>
                <w:highlight w:val="none"/>
                <w:lang w:val="en-US" w:eastAsia="zh-CN"/>
              </w:rPr>
              <w:t>99.52%</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862" w:type="pct"/>
            <w:gridSpan w:val="2"/>
            <w:tcBorders>
              <w:tl2br w:val="nil"/>
              <w:tr2bl w:val="nil"/>
            </w:tcBorders>
            <w:shd w:val="clear" w:color="auto" w:fill="auto"/>
            <w:tcMar>
              <w:top w:w="15" w:type="dxa"/>
              <w:left w:w="15" w:type="dxa"/>
              <w:right w:w="15" w:type="dxa"/>
            </w:tcMar>
            <w:vAlign w:val="center"/>
          </w:tcPr>
          <w:p>
            <w:pPr>
              <w:pStyle w:val="23"/>
              <w:rPr>
                <w:color w:val="auto"/>
                <w:highlight w:val="none"/>
              </w:rPr>
            </w:pPr>
            <w:r>
              <w:rPr>
                <w:color w:val="auto"/>
                <w:highlight w:val="none"/>
              </w:rPr>
              <w:t>小计</w:t>
            </w:r>
          </w:p>
        </w:tc>
        <w:tc>
          <w:tcPr>
            <w:tcW w:w="1136" w:type="dxa"/>
            <w:tcBorders>
              <w:tl2br w:val="nil"/>
              <w:tr2bl w:val="nil"/>
            </w:tcBorders>
            <w:shd w:val="clear" w:color="auto" w:fill="auto"/>
            <w:tcMar>
              <w:top w:w="15" w:type="dxa"/>
              <w:left w:w="15" w:type="dxa"/>
              <w:right w:w="15" w:type="dxa"/>
            </w:tcMar>
            <w:vAlign w:val="center"/>
          </w:tcPr>
          <w:p>
            <w:pPr>
              <w:pStyle w:val="23"/>
              <w:bidi w:val="0"/>
              <w:rPr>
                <w:color w:val="auto"/>
                <w:highlight w:val="none"/>
              </w:rPr>
            </w:pPr>
            <w:r>
              <w:rPr>
                <w:rFonts w:hint="default"/>
                <w:color w:val="auto"/>
                <w:highlight w:val="none"/>
                <w:lang w:val="en-US" w:eastAsia="zh-CN"/>
              </w:rPr>
              <w:t xml:space="preserve">4.45 </w:t>
            </w:r>
          </w:p>
        </w:tc>
        <w:tc>
          <w:tcPr>
            <w:tcW w:w="903" w:type="dxa"/>
            <w:tcBorders>
              <w:tl2br w:val="nil"/>
              <w:tr2bl w:val="nil"/>
            </w:tcBorders>
            <w:shd w:val="clear" w:color="auto" w:fill="auto"/>
            <w:tcMar>
              <w:top w:w="15" w:type="dxa"/>
              <w:left w:w="15" w:type="dxa"/>
              <w:right w:w="15" w:type="dxa"/>
            </w:tcMar>
            <w:vAlign w:val="center"/>
          </w:tcPr>
          <w:p>
            <w:pPr>
              <w:pStyle w:val="23"/>
              <w:bidi w:val="0"/>
              <w:rPr>
                <w:color w:val="auto"/>
                <w:highlight w:val="none"/>
              </w:rPr>
            </w:pPr>
            <w:r>
              <w:rPr>
                <w:rFonts w:hint="default"/>
                <w:color w:val="auto"/>
                <w:highlight w:val="none"/>
                <w:lang w:val="en-US" w:eastAsia="zh-CN"/>
              </w:rPr>
              <w:t xml:space="preserve">4.45 </w:t>
            </w:r>
          </w:p>
        </w:tc>
        <w:tc>
          <w:tcPr>
            <w:tcW w:w="903" w:type="dxa"/>
            <w:tcBorders>
              <w:tl2br w:val="nil"/>
              <w:tr2bl w:val="nil"/>
            </w:tcBorders>
            <w:shd w:val="clear" w:color="auto" w:fill="auto"/>
            <w:tcMar>
              <w:top w:w="15" w:type="dxa"/>
              <w:left w:w="15" w:type="dxa"/>
              <w:right w:w="15" w:type="dxa"/>
            </w:tcMar>
            <w:vAlign w:val="center"/>
          </w:tcPr>
          <w:p>
            <w:pPr>
              <w:pStyle w:val="23"/>
              <w:bidi w:val="0"/>
              <w:rPr>
                <w:color w:val="auto"/>
                <w:highlight w:val="none"/>
              </w:rPr>
            </w:pPr>
            <w:r>
              <w:rPr>
                <w:rFonts w:hint="default"/>
                <w:color w:val="auto"/>
                <w:highlight w:val="none"/>
                <w:lang w:val="en-US" w:eastAsia="zh-CN"/>
              </w:rPr>
              <w:t xml:space="preserve">4.13 </w:t>
            </w:r>
          </w:p>
        </w:tc>
        <w:tc>
          <w:tcPr>
            <w:tcW w:w="903" w:type="dxa"/>
            <w:tcBorders>
              <w:tl2br w:val="nil"/>
              <w:tr2bl w:val="nil"/>
            </w:tcBorders>
            <w:shd w:val="clear" w:color="auto" w:fill="auto"/>
            <w:tcMar>
              <w:top w:w="15" w:type="dxa"/>
              <w:left w:w="15" w:type="dxa"/>
              <w:right w:w="15" w:type="dxa"/>
            </w:tcMar>
            <w:vAlign w:val="center"/>
          </w:tcPr>
          <w:p>
            <w:pPr>
              <w:pStyle w:val="23"/>
              <w:bidi w:val="0"/>
              <w:rPr>
                <w:color w:val="auto"/>
                <w:highlight w:val="none"/>
              </w:rPr>
            </w:pPr>
            <w:r>
              <w:rPr>
                <w:rFonts w:hint="default"/>
                <w:color w:val="auto"/>
                <w:highlight w:val="none"/>
                <w:lang w:val="en-US" w:eastAsia="zh-CN"/>
              </w:rPr>
              <w:t xml:space="preserve">0.32 </w:t>
            </w:r>
          </w:p>
        </w:tc>
        <w:tc>
          <w:tcPr>
            <w:tcW w:w="903" w:type="dxa"/>
            <w:tcBorders>
              <w:tl2br w:val="nil"/>
              <w:tr2bl w:val="nil"/>
            </w:tcBorders>
            <w:shd w:val="clear" w:color="auto" w:fill="auto"/>
            <w:tcMar>
              <w:top w:w="15" w:type="dxa"/>
              <w:left w:w="15" w:type="dxa"/>
              <w:right w:w="15" w:type="dxa"/>
            </w:tcMar>
            <w:vAlign w:val="center"/>
          </w:tcPr>
          <w:p>
            <w:pPr>
              <w:pStyle w:val="23"/>
              <w:bidi w:val="0"/>
              <w:rPr>
                <w:color w:val="auto"/>
                <w:highlight w:val="none"/>
              </w:rPr>
            </w:pPr>
            <w:r>
              <w:rPr>
                <w:rFonts w:hint="default"/>
                <w:color w:val="auto"/>
                <w:highlight w:val="none"/>
                <w:lang w:val="en-US" w:eastAsia="zh-CN"/>
              </w:rPr>
              <w:t xml:space="preserve">0.01 </w:t>
            </w:r>
          </w:p>
        </w:tc>
        <w:tc>
          <w:tcPr>
            <w:tcW w:w="903" w:type="dxa"/>
            <w:tcBorders>
              <w:tl2br w:val="nil"/>
              <w:tr2bl w:val="nil"/>
            </w:tcBorders>
            <w:shd w:val="clear" w:color="auto" w:fill="auto"/>
            <w:tcMar>
              <w:top w:w="15" w:type="dxa"/>
              <w:left w:w="15" w:type="dxa"/>
              <w:right w:w="15" w:type="dxa"/>
            </w:tcMar>
            <w:vAlign w:val="center"/>
          </w:tcPr>
          <w:p>
            <w:pPr>
              <w:pStyle w:val="23"/>
              <w:bidi w:val="0"/>
              <w:rPr>
                <w:color w:val="auto"/>
                <w:highlight w:val="none"/>
              </w:rPr>
            </w:pPr>
            <w:r>
              <w:rPr>
                <w:rFonts w:hint="default"/>
                <w:color w:val="auto"/>
                <w:highlight w:val="none"/>
                <w:lang w:val="en-US" w:eastAsia="zh-CN"/>
              </w:rPr>
              <w:t xml:space="preserve">0.31 </w:t>
            </w:r>
          </w:p>
        </w:tc>
        <w:tc>
          <w:tcPr>
            <w:tcW w:w="974" w:type="dxa"/>
            <w:tcBorders>
              <w:tl2br w:val="nil"/>
              <w:tr2bl w:val="nil"/>
            </w:tcBorders>
            <w:shd w:val="clear" w:color="auto" w:fill="auto"/>
            <w:tcMar>
              <w:top w:w="15" w:type="dxa"/>
              <w:left w:w="15" w:type="dxa"/>
              <w:right w:w="15" w:type="dxa"/>
            </w:tcMar>
            <w:vAlign w:val="center"/>
          </w:tcPr>
          <w:p>
            <w:pPr>
              <w:pStyle w:val="23"/>
              <w:bidi w:val="0"/>
              <w:rPr>
                <w:color w:val="auto"/>
                <w:highlight w:val="none"/>
              </w:rPr>
            </w:pPr>
            <w:r>
              <w:rPr>
                <w:rFonts w:hint="default"/>
                <w:color w:val="auto"/>
                <w:highlight w:val="none"/>
                <w:lang w:val="en-US" w:eastAsia="zh-CN"/>
              </w:rPr>
              <w:t xml:space="preserve">0.32 </w:t>
            </w:r>
          </w:p>
        </w:tc>
        <w:tc>
          <w:tcPr>
            <w:tcW w:w="903" w:type="dxa"/>
            <w:tcBorders>
              <w:tl2br w:val="nil"/>
              <w:tr2bl w:val="nil"/>
            </w:tcBorders>
            <w:shd w:val="clear" w:color="auto" w:fill="auto"/>
            <w:tcMar>
              <w:top w:w="15" w:type="dxa"/>
              <w:left w:w="15" w:type="dxa"/>
              <w:right w:w="15" w:type="dxa"/>
            </w:tcMar>
            <w:vAlign w:val="center"/>
          </w:tcPr>
          <w:p>
            <w:pPr>
              <w:pStyle w:val="23"/>
              <w:bidi w:val="0"/>
              <w:rPr>
                <w:color w:val="auto"/>
                <w:highlight w:val="none"/>
              </w:rPr>
            </w:pPr>
            <w:r>
              <w:rPr>
                <w:rFonts w:hint="default"/>
                <w:color w:val="auto"/>
                <w:highlight w:val="none"/>
                <w:lang w:val="en-US" w:eastAsia="zh-CN"/>
              </w:rPr>
              <w:t>99.63%</w:t>
            </w:r>
          </w:p>
        </w:tc>
      </w:tr>
    </w:tbl>
    <w:p>
      <w:pPr>
        <w:pStyle w:val="3"/>
      </w:pPr>
      <w:r>
        <w:rPr>
          <w:rFonts w:hint="eastAsia"/>
        </w:rPr>
        <w:t>土</w:t>
      </w:r>
      <w:r>
        <w:rPr>
          <w:rFonts w:hint="eastAsia" w:ascii="Times New Roman" w:hAnsi="Times New Roman" w:cs="Times New Roman"/>
        </w:rPr>
        <w:t>壤流失控制比</w:t>
      </w:r>
      <w:bookmarkEnd w:id="97"/>
    </w:p>
    <w:p>
      <w:pPr>
        <w:ind w:firstLine="480"/>
        <w:rPr>
          <w:rFonts w:cs="Times New Roman"/>
        </w:rPr>
      </w:pPr>
      <w:r>
        <w:rPr>
          <w:rFonts w:cs="Times New Roman"/>
        </w:rPr>
        <w:t>项</w:t>
      </w:r>
      <w:r>
        <w:rPr>
          <w:rFonts w:hint="eastAsia" w:cs="Times New Roman"/>
        </w:rPr>
        <w:t>目区容许土壤流失量为500t/km</w:t>
      </w:r>
      <w:r>
        <w:rPr>
          <w:rFonts w:hint="eastAsia" w:cs="Times New Roman"/>
          <w:vertAlign w:val="superscript"/>
        </w:rPr>
        <w:t>2</w:t>
      </w:r>
      <w:r>
        <w:rPr>
          <w:rFonts w:hint="eastAsia" w:cs="Times New Roman"/>
        </w:rPr>
        <w:t>·a。根据水土保持监测结果并经核实，项目区治理后平均土壤流失量约为</w:t>
      </w:r>
      <w:r>
        <w:rPr>
          <w:rFonts w:hint="eastAsia" w:cs="Times New Roman"/>
          <w:lang w:val="en-US" w:eastAsia="zh-CN"/>
        </w:rPr>
        <w:t>408</w:t>
      </w:r>
      <w:r>
        <w:rPr>
          <w:rFonts w:hint="eastAsia" w:cs="Times New Roman"/>
        </w:rPr>
        <w:t>t/km</w:t>
      </w:r>
      <w:r>
        <w:rPr>
          <w:rFonts w:hint="eastAsia" w:cs="Times New Roman"/>
          <w:vertAlign w:val="superscript"/>
        </w:rPr>
        <w:t>2</w:t>
      </w:r>
      <w:r>
        <w:rPr>
          <w:rFonts w:hint="eastAsia" w:cs="Times New Roman"/>
        </w:rPr>
        <w:t>·a，土壤流失控制比为1.2</w:t>
      </w:r>
      <w:r>
        <w:rPr>
          <w:rFonts w:hint="eastAsia" w:cs="Times New Roman"/>
          <w:lang w:val="en-US" w:eastAsia="zh-CN"/>
        </w:rPr>
        <w:t>3</w:t>
      </w:r>
      <w:r>
        <w:rPr>
          <w:rFonts w:hint="eastAsia" w:cs="Times New Roman"/>
        </w:rPr>
        <w:t>，达到批复的水土保持方案确定的防治目标值1.0</w:t>
      </w:r>
      <w:r>
        <w:rPr>
          <w:rFonts w:cs="Times New Roman"/>
        </w:rPr>
        <w:t>。</w:t>
      </w:r>
    </w:p>
    <w:p>
      <w:pPr>
        <w:pStyle w:val="24"/>
        <w:rPr>
          <w:rFonts w:cs="Times New Roman"/>
        </w:rPr>
      </w:pPr>
      <w:r>
        <w:rPr>
          <w:rFonts w:cs="Times New Roman"/>
        </w:rPr>
        <w:t>表</w:t>
      </w:r>
      <w:r>
        <w:rPr>
          <w:rFonts w:hint="eastAsia" w:cs="Times New Roman"/>
        </w:rPr>
        <w:t>6.3-1</w:t>
      </w:r>
      <w:r>
        <w:rPr>
          <w:rFonts w:cs="Times New Roman"/>
        </w:rPr>
        <w:t xml:space="preserve">  土壤流失控制比一览表</w:t>
      </w:r>
    </w:p>
    <w:tbl>
      <w:tblPr>
        <w:tblStyle w:val="13"/>
        <w:tblW w:w="5000"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581"/>
        <w:gridCol w:w="1094"/>
        <w:gridCol w:w="1486"/>
        <w:gridCol w:w="2305"/>
        <w:gridCol w:w="2196"/>
        <w:gridCol w:w="1438"/>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319" w:type="pct"/>
            <w:tcBorders>
              <w:tl2br w:val="nil"/>
              <w:tr2bl w:val="nil"/>
            </w:tcBorders>
            <w:shd w:val="clear" w:color="auto" w:fill="auto"/>
            <w:tcMar>
              <w:top w:w="15" w:type="dxa"/>
              <w:left w:w="15" w:type="dxa"/>
              <w:right w:w="15" w:type="dxa"/>
            </w:tcMar>
            <w:vAlign w:val="center"/>
          </w:tcPr>
          <w:p>
            <w:pPr>
              <w:pStyle w:val="23"/>
              <w:rPr>
                <w:color w:val="auto"/>
                <w:highlight w:val="none"/>
              </w:rPr>
            </w:pPr>
            <w:bookmarkStart w:id="98" w:name="_Toc8972"/>
            <w:r>
              <w:rPr>
                <w:color w:val="auto"/>
                <w:highlight w:val="none"/>
              </w:rPr>
              <w:t>序号</w:t>
            </w:r>
          </w:p>
        </w:tc>
        <w:tc>
          <w:tcPr>
            <w:tcW w:w="601" w:type="pct"/>
            <w:tcBorders>
              <w:tl2br w:val="nil"/>
              <w:tr2bl w:val="nil"/>
            </w:tcBorders>
            <w:shd w:val="clear" w:color="auto" w:fill="auto"/>
            <w:tcMar>
              <w:top w:w="15" w:type="dxa"/>
              <w:left w:w="15" w:type="dxa"/>
              <w:right w:w="15" w:type="dxa"/>
            </w:tcMar>
            <w:vAlign w:val="center"/>
          </w:tcPr>
          <w:p>
            <w:pPr>
              <w:pStyle w:val="23"/>
              <w:rPr>
                <w:color w:val="auto"/>
                <w:highlight w:val="none"/>
              </w:rPr>
            </w:pPr>
            <w:r>
              <w:rPr>
                <w:color w:val="auto"/>
                <w:highlight w:val="none"/>
              </w:rPr>
              <w:t>防治分区</w:t>
            </w:r>
          </w:p>
        </w:tc>
        <w:tc>
          <w:tcPr>
            <w:tcW w:w="816" w:type="pct"/>
            <w:tcBorders>
              <w:tl2br w:val="nil"/>
              <w:tr2bl w:val="nil"/>
            </w:tcBorders>
            <w:shd w:val="clear" w:color="auto" w:fill="auto"/>
            <w:tcMar>
              <w:top w:w="15" w:type="dxa"/>
              <w:left w:w="15" w:type="dxa"/>
              <w:right w:w="15" w:type="dxa"/>
            </w:tcMar>
            <w:vAlign w:val="center"/>
          </w:tcPr>
          <w:p>
            <w:pPr>
              <w:pStyle w:val="23"/>
              <w:rPr>
                <w:color w:val="auto"/>
                <w:highlight w:val="none"/>
              </w:rPr>
            </w:pPr>
            <w:r>
              <w:rPr>
                <w:color w:val="auto"/>
                <w:highlight w:val="none"/>
              </w:rPr>
              <w:t>项目建设区(hm</w:t>
            </w:r>
            <w:r>
              <w:rPr>
                <w:color w:val="auto"/>
                <w:highlight w:val="none"/>
                <w:vertAlign w:val="superscript"/>
              </w:rPr>
              <w:t>2</w:t>
            </w:r>
            <w:r>
              <w:rPr>
                <w:color w:val="auto"/>
                <w:highlight w:val="none"/>
              </w:rPr>
              <w:t>)</w:t>
            </w:r>
          </w:p>
        </w:tc>
        <w:tc>
          <w:tcPr>
            <w:tcW w:w="1266" w:type="pct"/>
            <w:tcBorders>
              <w:tl2br w:val="nil"/>
              <w:tr2bl w:val="nil"/>
            </w:tcBorders>
            <w:shd w:val="clear" w:color="auto" w:fill="auto"/>
            <w:tcMar>
              <w:top w:w="15" w:type="dxa"/>
              <w:left w:w="15" w:type="dxa"/>
              <w:right w:w="15" w:type="dxa"/>
            </w:tcMar>
          </w:tcPr>
          <w:p>
            <w:pPr>
              <w:pStyle w:val="23"/>
              <w:rPr>
                <w:color w:val="auto"/>
                <w:highlight w:val="none"/>
              </w:rPr>
            </w:pPr>
            <w:r>
              <w:rPr>
                <w:rFonts w:hint="eastAsia"/>
                <w:color w:val="auto"/>
                <w:highlight w:val="none"/>
              </w:rPr>
              <w:t>治理后土壤流失量（</w:t>
            </w:r>
            <w:r>
              <w:rPr>
                <w:color w:val="auto"/>
                <w:highlight w:val="none"/>
              </w:rPr>
              <w:t>t/km</w:t>
            </w:r>
            <w:r>
              <w:rPr>
                <w:color w:val="auto"/>
                <w:highlight w:val="none"/>
                <w:vertAlign w:val="superscript"/>
              </w:rPr>
              <w:t>2</w:t>
            </w:r>
            <w:r>
              <w:rPr>
                <w:color w:val="auto"/>
                <w:highlight w:val="none"/>
              </w:rPr>
              <w:t>.a）</w:t>
            </w:r>
          </w:p>
        </w:tc>
        <w:tc>
          <w:tcPr>
            <w:tcW w:w="1206" w:type="pct"/>
            <w:tcBorders>
              <w:tl2br w:val="nil"/>
              <w:tr2bl w:val="nil"/>
            </w:tcBorders>
            <w:shd w:val="clear" w:color="auto" w:fill="auto"/>
            <w:tcMar>
              <w:top w:w="15" w:type="dxa"/>
              <w:left w:w="15" w:type="dxa"/>
              <w:right w:w="15" w:type="dxa"/>
            </w:tcMar>
          </w:tcPr>
          <w:p>
            <w:pPr>
              <w:pStyle w:val="23"/>
              <w:rPr>
                <w:color w:val="auto"/>
                <w:highlight w:val="none"/>
              </w:rPr>
            </w:pPr>
            <w:r>
              <w:rPr>
                <w:color w:val="auto"/>
                <w:highlight w:val="none"/>
              </w:rPr>
              <w:t>容许土壤侵蚀模数（t/km</w:t>
            </w:r>
            <w:r>
              <w:rPr>
                <w:color w:val="auto"/>
                <w:highlight w:val="none"/>
                <w:vertAlign w:val="superscript"/>
              </w:rPr>
              <w:t>2</w:t>
            </w:r>
            <w:r>
              <w:rPr>
                <w:color w:val="auto"/>
                <w:highlight w:val="none"/>
              </w:rPr>
              <w:t>.a）</w:t>
            </w:r>
          </w:p>
        </w:tc>
        <w:tc>
          <w:tcPr>
            <w:tcW w:w="789" w:type="pct"/>
            <w:tcBorders>
              <w:tl2br w:val="nil"/>
              <w:tr2bl w:val="nil"/>
            </w:tcBorders>
            <w:shd w:val="clear" w:color="auto" w:fill="auto"/>
            <w:tcMar>
              <w:top w:w="15" w:type="dxa"/>
              <w:left w:w="15" w:type="dxa"/>
              <w:right w:w="15" w:type="dxa"/>
            </w:tcMar>
          </w:tcPr>
          <w:p>
            <w:pPr>
              <w:pStyle w:val="23"/>
              <w:rPr>
                <w:color w:val="auto"/>
                <w:highlight w:val="none"/>
              </w:rPr>
            </w:pPr>
            <w:r>
              <w:rPr>
                <w:color w:val="auto"/>
                <w:highlight w:val="none"/>
              </w:rPr>
              <w:t>水土流失控制比</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319" w:type="pct"/>
            <w:tcBorders>
              <w:tl2br w:val="nil"/>
              <w:tr2bl w:val="nil"/>
            </w:tcBorders>
            <w:shd w:val="clear" w:color="auto" w:fill="auto"/>
            <w:noWrap/>
            <w:tcMar>
              <w:top w:w="15" w:type="dxa"/>
              <w:left w:w="15" w:type="dxa"/>
              <w:right w:w="15" w:type="dxa"/>
            </w:tcMar>
            <w:vAlign w:val="center"/>
          </w:tcPr>
          <w:p>
            <w:pPr>
              <w:pStyle w:val="23"/>
              <w:rPr>
                <w:color w:val="auto"/>
                <w:highlight w:val="none"/>
              </w:rPr>
            </w:pPr>
            <w:r>
              <w:rPr>
                <w:color w:val="auto"/>
                <w:highlight w:val="none"/>
              </w:rPr>
              <w:t>1</w:t>
            </w:r>
          </w:p>
        </w:tc>
        <w:tc>
          <w:tcPr>
            <w:tcW w:w="601" w:type="pct"/>
            <w:tcBorders>
              <w:tl2br w:val="nil"/>
              <w:tr2bl w:val="nil"/>
            </w:tcBorders>
            <w:shd w:val="clear" w:color="auto" w:fill="auto"/>
            <w:tcMar>
              <w:top w:w="15" w:type="dxa"/>
              <w:left w:w="15" w:type="dxa"/>
              <w:right w:w="15" w:type="dxa"/>
            </w:tcMar>
            <w:vAlign w:val="center"/>
          </w:tcPr>
          <w:p>
            <w:pPr>
              <w:pStyle w:val="23"/>
              <w:rPr>
                <w:rFonts w:hint="eastAsia" w:eastAsia="仿宋"/>
                <w:color w:val="auto"/>
                <w:highlight w:val="none"/>
                <w:lang w:eastAsia="zh-CN"/>
              </w:rPr>
            </w:pPr>
            <w:r>
              <w:rPr>
                <w:rFonts w:hint="eastAsia"/>
                <w:color w:val="auto"/>
                <w:highlight w:val="none"/>
                <w:lang w:eastAsia="zh-CN"/>
              </w:rPr>
              <w:t>建构筑物防治区</w:t>
            </w:r>
          </w:p>
        </w:tc>
        <w:tc>
          <w:tcPr>
            <w:tcW w:w="816" w:type="pct"/>
            <w:tcBorders>
              <w:tl2br w:val="nil"/>
              <w:tr2bl w:val="nil"/>
            </w:tcBorders>
            <w:shd w:val="clear" w:color="auto" w:fill="auto"/>
            <w:tcMar>
              <w:top w:w="15" w:type="dxa"/>
              <w:left w:w="15" w:type="dxa"/>
              <w:right w:w="15" w:type="dxa"/>
            </w:tcMar>
            <w:vAlign w:val="center"/>
          </w:tcPr>
          <w:p>
            <w:pPr>
              <w:pStyle w:val="23"/>
              <w:bidi w:val="0"/>
              <w:rPr>
                <w:rFonts w:hint="eastAsia"/>
                <w:color w:val="auto"/>
                <w:highlight w:val="none"/>
                <w:lang w:eastAsia="zh-CN"/>
              </w:rPr>
            </w:pPr>
            <w:r>
              <w:rPr>
                <w:rFonts w:hint="default"/>
                <w:color w:val="auto"/>
                <w:highlight w:val="none"/>
                <w:lang w:val="en-US" w:eastAsia="zh-CN"/>
              </w:rPr>
              <w:t>2.77</w:t>
            </w:r>
          </w:p>
        </w:tc>
        <w:tc>
          <w:tcPr>
            <w:tcW w:w="1266" w:type="pct"/>
            <w:tcBorders>
              <w:tl2br w:val="nil"/>
              <w:tr2bl w:val="nil"/>
            </w:tcBorders>
            <w:shd w:val="clear" w:color="auto" w:fill="auto"/>
            <w:tcMar>
              <w:top w:w="15" w:type="dxa"/>
              <w:left w:w="15" w:type="dxa"/>
              <w:right w:w="15" w:type="dxa"/>
            </w:tcMar>
            <w:vAlign w:val="center"/>
          </w:tcPr>
          <w:p>
            <w:pPr>
              <w:pStyle w:val="23"/>
              <w:bidi w:val="0"/>
              <w:rPr>
                <w:color w:val="auto"/>
                <w:highlight w:val="none"/>
              </w:rPr>
            </w:pPr>
            <w:r>
              <w:rPr>
                <w:rFonts w:hint="default"/>
                <w:color w:val="auto"/>
                <w:highlight w:val="none"/>
                <w:lang w:val="en-US" w:eastAsia="zh-CN"/>
              </w:rPr>
              <w:t>400</w:t>
            </w:r>
          </w:p>
        </w:tc>
        <w:tc>
          <w:tcPr>
            <w:tcW w:w="1206" w:type="pct"/>
            <w:tcBorders>
              <w:tl2br w:val="nil"/>
              <w:tr2bl w:val="nil"/>
            </w:tcBorders>
            <w:shd w:val="clear" w:color="auto" w:fill="auto"/>
            <w:noWrap/>
            <w:tcMar>
              <w:top w:w="15" w:type="dxa"/>
              <w:left w:w="15" w:type="dxa"/>
              <w:right w:w="15" w:type="dxa"/>
            </w:tcMar>
            <w:vAlign w:val="top"/>
          </w:tcPr>
          <w:p>
            <w:pPr>
              <w:pStyle w:val="23"/>
              <w:bidi w:val="0"/>
              <w:rPr>
                <w:color w:val="auto"/>
                <w:highlight w:val="none"/>
              </w:rPr>
            </w:pPr>
            <w:r>
              <w:rPr>
                <w:rFonts w:hint="default"/>
                <w:color w:val="auto"/>
                <w:highlight w:val="none"/>
                <w:lang w:val="en-US" w:eastAsia="zh-CN"/>
              </w:rPr>
              <w:t>500</w:t>
            </w:r>
          </w:p>
        </w:tc>
        <w:tc>
          <w:tcPr>
            <w:tcW w:w="789" w:type="pct"/>
            <w:tcBorders>
              <w:tl2br w:val="nil"/>
              <w:tr2bl w:val="nil"/>
            </w:tcBorders>
            <w:shd w:val="clear" w:color="auto" w:fill="auto"/>
            <w:tcMar>
              <w:top w:w="15" w:type="dxa"/>
              <w:left w:w="15" w:type="dxa"/>
              <w:right w:w="15" w:type="dxa"/>
            </w:tcMar>
            <w:vAlign w:val="center"/>
          </w:tcPr>
          <w:p>
            <w:pPr>
              <w:pStyle w:val="23"/>
              <w:bidi w:val="0"/>
              <w:rPr>
                <w:color w:val="auto"/>
                <w:highlight w:val="none"/>
              </w:rPr>
            </w:pPr>
            <w:r>
              <w:rPr>
                <w:rFonts w:hint="default"/>
                <w:color w:val="auto"/>
                <w:highlight w:val="none"/>
                <w:lang w:val="en-US" w:eastAsia="zh-CN"/>
              </w:rPr>
              <w:t xml:space="preserve">1.25 </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319" w:type="pct"/>
            <w:tcBorders>
              <w:tl2br w:val="nil"/>
              <w:tr2bl w:val="nil"/>
            </w:tcBorders>
            <w:shd w:val="clear" w:color="auto" w:fill="auto"/>
            <w:noWrap/>
            <w:tcMar>
              <w:top w:w="15" w:type="dxa"/>
              <w:left w:w="15" w:type="dxa"/>
              <w:right w:w="15" w:type="dxa"/>
            </w:tcMar>
            <w:vAlign w:val="center"/>
          </w:tcPr>
          <w:p>
            <w:pPr>
              <w:pStyle w:val="23"/>
              <w:rPr>
                <w:color w:val="auto"/>
                <w:highlight w:val="none"/>
              </w:rPr>
            </w:pPr>
            <w:r>
              <w:rPr>
                <w:color w:val="auto"/>
                <w:highlight w:val="none"/>
              </w:rPr>
              <w:t>2</w:t>
            </w:r>
          </w:p>
        </w:tc>
        <w:tc>
          <w:tcPr>
            <w:tcW w:w="601" w:type="pct"/>
            <w:tcBorders>
              <w:tl2br w:val="nil"/>
              <w:tr2bl w:val="nil"/>
            </w:tcBorders>
            <w:shd w:val="clear" w:color="auto" w:fill="auto"/>
            <w:tcMar>
              <w:top w:w="15" w:type="dxa"/>
              <w:left w:w="15" w:type="dxa"/>
              <w:right w:w="15" w:type="dxa"/>
            </w:tcMar>
            <w:vAlign w:val="center"/>
          </w:tcPr>
          <w:p>
            <w:pPr>
              <w:pStyle w:val="23"/>
              <w:rPr>
                <w:rFonts w:hint="eastAsia" w:eastAsia="仿宋"/>
                <w:color w:val="auto"/>
                <w:highlight w:val="none"/>
                <w:lang w:eastAsia="zh-CN"/>
              </w:rPr>
            </w:pPr>
            <w:r>
              <w:rPr>
                <w:rFonts w:hint="eastAsia"/>
                <w:color w:val="auto"/>
                <w:highlight w:val="none"/>
                <w:lang w:eastAsia="zh-CN"/>
              </w:rPr>
              <w:t>道路及硬化工程防治区</w:t>
            </w:r>
          </w:p>
        </w:tc>
        <w:tc>
          <w:tcPr>
            <w:tcW w:w="816" w:type="pct"/>
            <w:tcBorders>
              <w:tl2br w:val="nil"/>
              <w:tr2bl w:val="nil"/>
            </w:tcBorders>
            <w:shd w:val="clear" w:color="auto" w:fill="auto"/>
            <w:tcMar>
              <w:top w:w="15" w:type="dxa"/>
              <w:left w:w="15" w:type="dxa"/>
              <w:right w:w="15" w:type="dxa"/>
            </w:tcMar>
            <w:vAlign w:val="center"/>
          </w:tcPr>
          <w:p>
            <w:pPr>
              <w:pStyle w:val="23"/>
              <w:bidi w:val="0"/>
              <w:rPr>
                <w:color w:val="auto"/>
                <w:highlight w:val="none"/>
              </w:rPr>
            </w:pPr>
            <w:r>
              <w:rPr>
                <w:rFonts w:hint="default"/>
                <w:color w:val="auto"/>
                <w:highlight w:val="none"/>
                <w:lang w:val="en-US" w:eastAsia="zh-CN"/>
              </w:rPr>
              <w:t>1.47</w:t>
            </w:r>
          </w:p>
        </w:tc>
        <w:tc>
          <w:tcPr>
            <w:tcW w:w="1266" w:type="pct"/>
            <w:tcBorders>
              <w:tl2br w:val="nil"/>
              <w:tr2bl w:val="nil"/>
            </w:tcBorders>
            <w:shd w:val="clear" w:color="auto" w:fill="auto"/>
            <w:tcMar>
              <w:top w:w="15" w:type="dxa"/>
              <w:left w:w="15" w:type="dxa"/>
              <w:right w:w="15" w:type="dxa"/>
            </w:tcMar>
            <w:vAlign w:val="center"/>
          </w:tcPr>
          <w:p>
            <w:pPr>
              <w:pStyle w:val="23"/>
              <w:bidi w:val="0"/>
              <w:rPr>
                <w:color w:val="auto"/>
                <w:highlight w:val="none"/>
              </w:rPr>
            </w:pPr>
            <w:r>
              <w:rPr>
                <w:rFonts w:hint="default"/>
                <w:color w:val="auto"/>
                <w:highlight w:val="none"/>
                <w:lang w:val="en-US" w:eastAsia="zh-CN"/>
              </w:rPr>
              <w:t>412</w:t>
            </w:r>
          </w:p>
        </w:tc>
        <w:tc>
          <w:tcPr>
            <w:tcW w:w="1206" w:type="pct"/>
            <w:tcBorders>
              <w:tl2br w:val="nil"/>
              <w:tr2bl w:val="nil"/>
            </w:tcBorders>
            <w:shd w:val="clear" w:color="auto" w:fill="auto"/>
            <w:noWrap/>
            <w:tcMar>
              <w:top w:w="15" w:type="dxa"/>
              <w:left w:w="15" w:type="dxa"/>
              <w:right w:w="15" w:type="dxa"/>
            </w:tcMar>
            <w:vAlign w:val="top"/>
          </w:tcPr>
          <w:p>
            <w:pPr>
              <w:pStyle w:val="23"/>
              <w:bidi w:val="0"/>
              <w:rPr>
                <w:color w:val="auto"/>
                <w:highlight w:val="none"/>
              </w:rPr>
            </w:pPr>
            <w:r>
              <w:rPr>
                <w:rFonts w:hint="default"/>
                <w:color w:val="auto"/>
                <w:highlight w:val="none"/>
                <w:lang w:val="en-US" w:eastAsia="zh-CN"/>
              </w:rPr>
              <w:t>500</w:t>
            </w:r>
          </w:p>
        </w:tc>
        <w:tc>
          <w:tcPr>
            <w:tcW w:w="789" w:type="pct"/>
            <w:tcBorders>
              <w:tl2br w:val="nil"/>
              <w:tr2bl w:val="nil"/>
            </w:tcBorders>
            <w:shd w:val="clear" w:color="auto" w:fill="auto"/>
            <w:tcMar>
              <w:top w:w="15" w:type="dxa"/>
              <w:left w:w="15" w:type="dxa"/>
              <w:right w:w="15" w:type="dxa"/>
            </w:tcMar>
            <w:vAlign w:val="center"/>
          </w:tcPr>
          <w:p>
            <w:pPr>
              <w:pStyle w:val="23"/>
              <w:bidi w:val="0"/>
              <w:rPr>
                <w:color w:val="auto"/>
                <w:highlight w:val="none"/>
              </w:rPr>
            </w:pPr>
            <w:r>
              <w:rPr>
                <w:rFonts w:hint="default"/>
                <w:color w:val="auto"/>
                <w:highlight w:val="none"/>
                <w:lang w:val="en-US" w:eastAsia="zh-CN"/>
              </w:rPr>
              <w:t xml:space="preserve">1.21 </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319" w:type="pct"/>
            <w:tcBorders>
              <w:tl2br w:val="nil"/>
              <w:tr2bl w:val="nil"/>
            </w:tcBorders>
            <w:shd w:val="clear" w:color="auto" w:fill="auto"/>
            <w:noWrap/>
            <w:tcMar>
              <w:top w:w="15" w:type="dxa"/>
              <w:left w:w="15" w:type="dxa"/>
              <w:right w:w="15" w:type="dxa"/>
            </w:tcMar>
            <w:vAlign w:val="center"/>
          </w:tcPr>
          <w:p>
            <w:pPr>
              <w:pStyle w:val="23"/>
              <w:rPr>
                <w:color w:val="auto"/>
                <w:highlight w:val="none"/>
              </w:rPr>
            </w:pPr>
            <w:r>
              <w:rPr>
                <w:color w:val="auto"/>
                <w:highlight w:val="none"/>
              </w:rPr>
              <w:t>3</w:t>
            </w:r>
          </w:p>
        </w:tc>
        <w:tc>
          <w:tcPr>
            <w:tcW w:w="601" w:type="pct"/>
            <w:tcBorders>
              <w:tl2br w:val="nil"/>
              <w:tr2bl w:val="nil"/>
            </w:tcBorders>
            <w:shd w:val="clear" w:color="auto" w:fill="auto"/>
            <w:tcMar>
              <w:top w:w="15" w:type="dxa"/>
              <w:left w:w="15" w:type="dxa"/>
              <w:right w:w="15" w:type="dxa"/>
            </w:tcMar>
            <w:vAlign w:val="center"/>
          </w:tcPr>
          <w:p>
            <w:pPr>
              <w:pStyle w:val="23"/>
              <w:rPr>
                <w:rFonts w:hint="eastAsia" w:eastAsia="仿宋"/>
                <w:color w:val="auto"/>
                <w:highlight w:val="none"/>
                <w:lang w:eastAsia="zh-CN"/>
              </w:rPr>
            </w:pPr>
            <w:r>
              <w:rPr>
                <w:rFonts w:hint="eastAsia"/>
                <w:color w:val="auto"/>
                <w:highlight w:val="none"/>
                <w:lang w:eastAsia="zh-CN"/>
              </w:rPr>
              <w:t>绿化防治区</w:t>
            </w:r>
          </w:p>
        </w:tc>
        <w:tc>
          <w:tcPr>
            <w:tcW w:w="816" w:type="pct"/>
            <w:tcBorders>
              <w:tl2br w:val="nil"/>
              <w:tr2bl w:val="nil"/>
            </w:tcBorders>
            <w:shd w:val="clear" w:color="auto" w:fill="auto"/>
            <w:tcMar>
              <w:top w:w="15" w:type="dxa"/>
              <w:left w:w="15" w:type="dxa"/>
              <w:right w:w="15" w:type="dxa"/>
            </w:tcMar>
            <w:vAlign w:val="center"/>
          </w:tcPr>
          <w:p>
            <w:pPr>
              <w:pStyle w:val="23"/>
              <w:bidi w:val="0"/>
              <w:rPr>
                <w:color w:val="auto"/>
                <w:highlight w:val="none"/>
              </w:rPr>
            </w:pPr>
            <w:r>
              <w:rPr>
                <w:rFonts w:hint="default"/>
                <w:color w:val="auto"/>
                <w:highlight w:val="none"/>
                <w:lang w:val="en-US" w:eastAsia="zh-CN"/>
              </w:rPr>
              <w:t>0.21</w:t>
            </w:r>
          </w:p>
        </w:tc>
        <w:tc>
          <w:tcPr>
            <w:tcW w:w="1266" w:type="pct"/>
            <w:tcBorders>
              <w:tl2br w:val="nil"/>
              <w:tr2bl w:val="nil"/>
            </w:tcBorders>
            <w:shd w:val="clear" w:color="auto" w:fill="auto"/>
            <w:tcMar>
              <w:top w:w="15" w:type="dxa"/>
              <w:left w:w="15" w:type="dxa"/>
              <w:right w:w="15" w:type="dxa"/>
            </w:tcMar>
            <w:vAlign w:val="center"/>
          </w:tcPr>
          <w:p>
            <w:pPr>
              <w:pStyle w:val="23"/>
              <w:bidi w:val="0"/>
              <w:rPr>
                <w:color w:val="auto"/>
                <w:highlight w:val="none"/>
              </w:rPr>
            </w:pPr>
            <w:r>
              <w:rPr>
                <w:rFonts w:hint="default"/>
                <w:color w:val="auto"/>
                <w:highlight w:val="none"/>
                <w:lang w:val="en-US" w:eastAsia="zh-CN"/>
              </w:rPr>
              <w:t>478</w:t>
            </w:r>
          </w:p>
        </w:tc>
        <w:tc>
          <w:tcPr>
            <w:tcW w:w="1206" w:type="pct"/>
            <w:tcBorders>
              <w:tl2br w:val="nil"/>
              <w:tr2bl w:val="nil"/>
            </w:tcBorders>
            <w:shd w:val="clear" w:color="auto" w:fill="auto"/>
            <w:noWrap/>
            <w:tcMar>
              <w:top w:w="15" w:type="dxa"/>
              <w:left w:w="15" w:type="dxa"/>
              <w:right w:w="15" w:type="dxa"/>
            </w:tcMar>
            <w:vAlign w:val="top"/>
          </w:tcPr>
          <w:p>
            <w:pPr>
              <w:pStyle w:val="23"/>
              <w:bidi w:val="0"/>
              <w:rPr>
                <w:color w:val="auto"/>
                <w:highlight w:val="none"/>
              </w:rPr>
            </w:pPr>
            <w:r>
              <w:rPr>
                <w:rFonts w:hint="default"/>
                <w:color w:val="auto"/>
                <w:highlight w:val="none"/>
                <w:lang w:val="en-US" w:eastAsia="zh-CN"/>
              </w:rPr>
              <w:t>500</w:t>
            </w:r>
          </w:p>
        </w:tc>
        <w:tc>
          <w:tcPr>
            <w:tcW w:w="789" w:type="pct"/>
            <w:tcBorders>
              <w:tl2br w:val="nil"/>
              <w:tr2bl w:val="nil"/>
            </w:tcBorders>
            <w:shd w:val="clear" w:color="auto" w:fill="auto"/>
            <w:tcMar>
              <w:top w:w="15" w:type="dxa"/>
              <w:left w:w="15" w:type="dxa"/>
              <w:right w:w="15" w:type="dxa"/>
            </w:tcMar>
            <w:vAlign w:val="center"/>
          </w:tcPr>
          <w:p>
            <w:pPr>
              <w:pStyle w:val="23"/>
              <w:bidi w:val="0"/>
              <w:rPr>
                <w:color w:val="auto"/>
                <w:highlight w:val="none"/>
              </w:rPr>
            </w:pPr>
            <w:r>
              <w:rPr>
                <w:rFonts w:hint="default"/>
                <w:color w:val="auto"/>
                <w:highlight w:val="none"/>
                <w:lang w:val="en-US" w:eastAsia="zh-CN"/>
              </w:rPr>
              <w:t xml:space="preserve">1.05 </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920" w:type="pct"/>
            <w:gridSpan w:val="2"/>
            <w:tcBorders>
              <w:tl2br w:val="nil"/>
              <w:tr2bl w:val="nil"/>
            </w:tcBorders>
            <w:shd w:val="clear" w:color="auto" w:fill="auto"/>
            <w:tcMar>
              <w:top w:w="15" w:type="dxa"/>
              <w:left w:w="15" w:type="dxa"/>
              <w:right w:w="15" w:type="dxa"/>
            </w:tcMar>
            <w:vAlign w:val="center"/>
          </w:tcPr>
          <w:p>
            <w:pPr>
              <w:pStyle w:val="23"/>
              <w:rPr>
                <w:color w:val="auto"/>
                <w:highlight w:val="none"/>
              </w:rPr>
            </w:pPr>
            <w:r>
              <w:rPr>
                <w:rFonts w:hint="eastAsia"/>
                <w:color w:val="auto"/>
                <w:highlight w:val="none"/>
              </w:rPr>
              <w:t>平均值</w:t>
            </w:r>
          </w:p>
        </w:tc>
        <w:tc>
          <w:tcPr>
            <w:tcW w:w="816" w:type="pct"/>
            <w:tcBorders>
              <w:tl2br w:val="nil"/>
              <w:tr2bl w:val="nil"/>
            </w:tcBorders>
            <w:shd w:val="clear" w:color="auto" w:fill="auto"/>
            <w:noWrap/>
            <w:tcMar>
              <w:top w:w="15" w:type="dxa"/>
              <w:left w:w="15" w:type="dxa"/>
              <w:right w:w="15" w:type="dxa"/>
            </w:tcMar>
            <w:vAlign w:val="center"/>
          </w:tcPr>
          <w:p>
            <w:pPr>
              <w:pStyle w:val="23"/>
              <w:bidi w:val="0"/>
              <w:rPr>
                <w:rFonts w:hint="eastAsia"/>
                <w:color w:val="auto"/>
                <w:highlight w:val="none"/>
                <w:lang w:eastAsia="zh-CN"/>
              </w:rPr>
            </w:pPr>
            <w:r>
              <w:rPr>
                <w:rFonts w:hint="eastAsia"/>
                <w:color w:val="auto"/>
                <w:highlight w:val="none"/>
                <w:lang w:val="en-US" w:eastAsia="zh-CN"/>
              </w:rPr>
              <w:t>4.45</w:t>
            </w:r>
          </w:p>
        </w:tc>
        <w:tc>
          <w:tcPr>
            <w:tcW w:w="1266" w:type="pct"/>
            <w:tcBorders>
              <w:tl2br w:val="nil"/>
              <w:tr2bl w:val="nil"/>
            </w:tcBorders>
            <w:shd w:val="clear" w:color="auto" w:fill="auto"/>
            <w:tcMar>
              <w:top w:w="15" w:type="dxa"/>
              <w:left w:w="15" w:type="dxa"/>
              <w:right w:w="15" w:type="dxa"/>
            </w:tcMar>
            <w:vAlign w:val="center"/>
          </w:tcPr>
          <w:p>
            <w:pPr>
              <w:pStyle w:val="23"/>
              <w:bidi w:val="0"/>
              <w:rPr>
                <w:color w:val="auto"/>
                <w:highlight w:val="none"/>
              </w:rPr>
            </w:pPr>
            <w:r>
              <w:rPr>
                <w:rFonts w:hint="default"/>
                <w:color w:val="auto"/>
                <w:highlight w:val="none"/>
                <w:lang w:val="en-US" w:eastAsia="zh-CN"/>
              </w:rPr>
              <w:t xml:space="preserve">408 </w:t>
            </w:r>
          </w:p>
        </w:tc>
        <w:tc>
          <w:tcPr>
            <w:tcW w:w="1206" w:type="pct"/>
            <w:tcBorders>
              <w:tl2br w:val="nil"/>
              <w:tr2bl w:val="nil"/>
            </w:tcBorders>
            <w:shd w:val="clear" w:color="auto" w:fill="auto"/>
            <w:noWrap/>
            <w:tcMar>
              <w:top w:w="15" w:type="dxa"/>
              <w:left w:w="15" w:type="dxa"/>
              <w:right w:w="15" w:type="dxa"/>
            </w:tcMar>
            <w:vAlign w:val="top"/>
          </w:tcPr>
          <w:p>
            <w:pPr>
              <w:pStyle w:val="23"/>
              <w:bidi w:val="0"/>
              <w:rPr>
                <w:color w:val="auto"/>
                <w:highlight w:val="none"/>
              </w:rPr>
            </w:pPr>
            <w:r>
              <w:rPr>
                <w:rFonts w:hint="default"/>
                <w:color w:val="auto"/>
                <w:highlight w:val="none"/>
                <w:lang w:val="en-US" w:eastAsia="zh-CN"/>
              </w:rPr>
              <w:t>500</w:t>
            </w:r>
          </w:p>
        </w:tc>
        <w:tc>
          <w:tcPr>
            <w:tcW w:w="789" w:type="pct"/>
            <w:tcBorders>
              <w:tl2br w:val="nil"/>
              <w:tr2bl w:val="nil"/>
            </w:tcBorders>
            <w:shd w:val="clear" w:color="auto" w:fill="auto"/>
            <w:tcMar>
              <w:top w:w="15" w:type="dxa"/>
              <w:left w:w="15" w:type="dxa"/>
              <w:right w:w="15" w:type="dxa"/>
            </w:tcMar>
            <w:vAlign w:val="center"/>
          </w:tcPr>
          <w:p>
            <w:pPr>
              <w:pStyle w:val="23"/>
              <w:bidi w:val="0"/>
              <w:rPr>
                <w:color w:val="auto"/>
                <w:highlight w:val="none"/>
              </w:rPr>
            </w:pPr>
            <w:r>
              <w:rPr>
                <w:rFonts w:hint="default"/>
                <w:color w:val="auto"/>
                <w:highlight w:val="none"/>
                <w:lang w:val="en-US" w:eastAsia="zh-CN"/>
              </w:rPr>
              <w:t xml:space="preserve">1.23 </w:t>
            </w:r>
          </w:p>
        </w:tc>
      </w:tr>
    </w:tbl>
    <w:p>
      <w:pPr>
        <w:pStyle w:val="3"/>
        <w:rPr>
          <w:rFonts w:ascii="Times New Roman" w:hAnsi="Times New Roman" w:cs="Times New Roman"/>
        </w:rPr>
      </w:pPr>
      <w:r>
        <w:rPr>
          <w:rFonts w:hint="eastAsia" w:ascii="Times New Roman" w:hAnsi="Times New Roman" w:cs="Times New Roman"/>
        </w:rPr>
        <w:t>拦渣率</w:t>
      </w:r>
      <w:bookmarkEnd w:id="98"/>
    </w:p>
    <w:p>
      <w:pPr>
        <w:ind w:firstLine="480"/>
        <w:rPr>
          <w:rFonts w:cs="Times New Roman"/>
        </w:rPr>
      </w:pPr>
      <w:r>
        <w:t>根据监理资料、竣工资料及结合现场调查，工程</w:t>
      </w:r>
      <w:r>
        <w:rPr>
          <w:rFonts w:hint="eastAsia"/>
        </w:rPr>
        <w:t>弃渣场堆渣总量为</w:t>
      </w:r>
      <w:r>
        <w:rPr>
          <w:rFonts w:hint="eastAsia"/>
          <w:lang w:eastAsia="zh-CN"/>
        </w:rPr>
        <w:t>12.89</w:t>
      </w:r>
      <w:r>
        <w:rPr>
          <w:rFonts w:hint="eastAsia"/>
        </w:rPr>
        <w:t>万m</w:t>
      </w:r>
      <w:r>
        <w:rPr>
          <w:rFonts w:hint="eastAsia"/>
          <w:vertAlign w:val="superscript"/>
        </w:rPr>
        <w:t>2</w:t>
      </w:r>
      <w:r>
        <w:rPr>
          <w:rFonts w:hint="eastAsia"/>
        </w:rPr>
        <w:t>，实际拦渣量为</w:t>
      </w:r>
      <w:r>
        <w:rPr>
          <w:rFonts w:hint="eastAsia"/>
          <w:lang w:eastAsia="zh-CN"/>
        </w:rPr>
        <w:t>12.87</w:t>
      </w:r>
      <w:r>
        <w:rPr>
          <w:rFonts w:hint="eastAsia"/>
        </w:rPr>
        <w:t>万m</w:t>
      </w:r>
      <w:r>
        <w:rPr>
          <w:rFonts w:hint="eastAsia"/>
          <w:vertAlign w:val="superscript"/>
        </w:rPr>
        <w:t>3</w:t>
      </w:r>
      <w:r>
        <w:rPr>
          <w:rFonts w:hint="eastAsia"/>
        </w:rPr>
        <w:t>。拦渣率为</w:t>
      </w:r>
      <w:r>
        <w:rPr>
          <w:rFonts w:hint="eastAsia"/>
          <w:lang w:eastAsia="zh-CN"/>
        </w:rPr>
        <w:t>99.84</w:t>
      </w:r>
      <w:r>
        <w:rPr>
          <w:rFonts w:hint="eastAsia"/>
        </w:rPr>
        <w:t>%，</w:t>
      </w:r>
      <w:r>
        <w:t>达到了方案设计目标值95%</w:t>
      </w:r>
      <w:r>
        <w:rPr>
          <w:rFonts w:cs="Times New Roman"/>
        </w:rPr>
        <w:t>。</w:t>
      </w:r>
    </w:p>
    <w:p>
      <w:pPr>
        <w:pStyle w:val="24"/>
        <w:rPr>
          <w:rFonts w:cs="Times New Roman"/>
        </w:rPr>
      </w:pPr>
      <w:r>
        <w:rPr>
          <w:rFonts w:cs="Times New Roman"/>
        </w:rPr>
        <w:t>表</w:t>
      </w:r>
      <w:r>
        <w:rPr>
          <w:rFonts w:hint="eastAsia" w:cs="Times New Roman"/>
        </w:rPr>
        <w:t>6.4-1</w:t>
      </w:r>
      <w:r>
        <w:rPr>
          <w:rFonts w:cs="Times New Roman"/>
        </w:rPr>
        <w:t xml:space="preserve">  </w:t>
      </w:r>
      <w:r>
        <w:rPr>
          <w:rFonts w:hint="eastAsia" w:cs="Times New Roman"/>
        </w:rPr>
        <w:t>拦渣率</w:t>
      </w:r>
      <w:r>
        <w:rPr>
          <w:rFonts w:cs="Times New Roman"/>
        </w:rPr>
        <w:t>一览表</w:t>
      </w:r>
    </w:p>
    <w:tbl>
      <w:tblPr>
        <w:tblStyle w:val="13"/>
        <w:tblW w:w="4997"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autofit"/>
        <w:tblCellMar>
          <w:top w:w="0" w:type="dxa"/>
          <w:left w:w="0" w:type="dxa"/>
          <w:bottom w:w="0" w:type="dxa"/>
          <w:right w:w="0" w:type="dxa"/>
        </w:tblCellMar>
      </w:tblPr>
      <w:tblGrid>
        <w:gridCol w:w="1151"/>
        <w:gridCol w:w="1523"/>
        <w:gridCol w:w="2963"/>
        <w:gridCol w:w="1529"/>
        <w:gridCol w:w="1929"/>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710" w:hRule="atLeast"/>
        </w:trPr>
        <w:tc>
          <w:tcPr>
            <w:tcW w:w="633" w:type="pct"/>
            <w:tcBorders>
              <w:tl2br w:val="nil"/>
              <w:tr2bl w:val="nil"/>
            </w:tcBorders>
            <w:shd w:val="clear" w:color="auto" w:fill="auto"/>
            <w:tcMar>
              <w:top w:w="15" w:type="dxa"/>
              <w:left w:w="15" w:type="dxa"/>
              <w:right w:w="15" w:type="dxa"/>
            </w:tcMar>
            <w:vAlign w:val="center"/>
          </w:tcPr>
          <w:p>
            <w:pPr>
              <w:pStyle w:val="23"/>
              <w:bidi w:val="0"/>
              <w:jc w:val="center"/>
              <w:rPr>
                <w:rFonts w:hint="default"/>
                <w:color w:val="auto"/>
                <w:highlight w:val="none"/>
              </w:rPr>
            </w:pPr>
            <w:bookmarkStart w:id="99" w:name="_Toc12868"/>
            <w:r>
              <w:rPr>
                <w:rFonts w:hint="default"/>
                <w:color w:val="auto"/>
                <w:highlight w:val="none"/>
                <w:lang w:val="en-US" w:eastAsia="zh-CN"/>
              </w:rPr>
              <w:t>序号</w:t>
            </w:r>
          </w:p>
        </w:tc>
        <w:tc>
          <w:tcPr>
            <w:tcW w:w="837" w:type="pct"/>
            <w:tcBorders>
              <w:tl2br w:val="nil"/>
              <w:tr2bl w:val="nil"/>
            </w:tcBorders>
            <w:shd w:val="clear" w:color="auto" w:fill="auto"/>
            <w:tcMar>
              <w:top w:w="15" w:type="dxa"/>
              <w:left w:w="15" w:type="dxa"/>
              <w:right w:w="15" w:type="dxa"/>
            </w:tcMar>
            <w:vAlign w:val="center"/>
          </w:tcPr>
          <w:p>
            <w:pPr>
              <w:pStyle w:val="23"/>
              <w:bidi w:val="0"/>
              <w:jc w:val="center"/>
              <w:rPr>
                <w:rFonts w:hint="default"/>
                <w:color w:val="auto"/>
                <w:highlight w:val="none"/>
              </w:rPr>
            </w:pPr>
            <w:r>
              <w:rPr>
                <w:rFonts w:hint="default"/>
                <w:color w:val="auto"/>
                <w:highlight w:val="none"/>
                <w:lang w:val="en-US" w:eastAsia="zh-CN"/>
              </w:rPr>
              <w:t>防治分区</w:t>
            </w:r>
          </w:p>
        </w:tc>
        <w:tc>
          <w:tcPr>
            <w:tcW w:w="1628" w:type="pct"/>
            <w:tcBorders>
              <w:tl2br w:val="nil"/>
              <w:tr2bl w:val="nil"/>
            </w:tcBorders>
            <w:shd w:val="clear" w:color="auto" w:fill="auto"/>
            <w:tcMar>
              <w:top w:w="15" w:type="dxa"/>
              <w:left w:w="15" w:type="dxa"/>
              <w:right w:w="15" w:type="dxa"/>
            </w:tcMar>
            <w:vAlign w:val="center"/>
          </w:tcPr>
          <w:p>
            <w:pPr>
              <w:pStyle w:val="23"/>
              <w:bidi w:val="0"/>
              <w:jc w:val="center"/>
              <w:rPr>
                <w:rFonts w:hint="eastAsia"/>
                <w:color w:val="auto"/>
                <w:highlight w:val="none"/>
              </w:rPr>
            </w:pPr>
            <w:r>
              <w:rPr>
                <w:rFonts w:hint="eastAsia"/>
                <w:color w:val="auto"/>
                <w:highlight w:val="none"/>
                <w:lang w:val="en-US" w:eastAsia="zh-CN"/>
              </w:rPr>
              <w:t>实际挡护永久弃渣、临时堆土量（万m³）</w:t>
            </w:r>
          </w:p>
        </w:tc>
        <w:tc>
          <w:tcPr>
            <w:tcW w:w="840" w:type="pct"/>
            <w:tcBorders>
              <w:tl2br w:val="nil"/>
              <w:tr2bl w:val="nil"/>
            </w:tcBorders>
            <w:shd w:val="clear" w:color="auto" w:fill="auto"/>
            <w:tcMar>
              <w:top w:w="15" w:type="dxa"/>
              <w:left w:w="15" w:type="dxa"/>
              <w:right w:w="15" w:type="dxa"/>
            </w:tcMar>
            <w:vAlign w:val="center"/>
          </w:tcPr>
          <w:p>
            <w:pPr>
              <w:pStyle w:val="23"/>
              <w:bidi w:val="0"/>
              <w:jc w:val="center"/>
              <w:rPr>
                <w:rFonts w:hint="eastAsia"/>
                <w:color w:val="auto"/>
                <w:highlight w:val="none"/>
              </w:rPr>
            </w:pPr>
            <w:r>
              <w:rPr>
                <w:rFonts w:hint="eastAsia"/>
                <w:color w:val="auto"/>
                <w:highlight w:val="none"/>
                <w:lang w:val="en-US" w:eastAsia="zh-CN"/>
              </w:rPr>
              <w:t>永久弃渣、临时堆土量总量（万m³）</w:t>
            </w:r>
          </w:p>
        </w:tc>
        <w:tc>
          <w:tcPr>
            <w:tcW w:w="1060" w:type="pct"/>
            <w:tcBorders>
              <w:tl2br w:val="nil"/>
              <w:tr2bl w:val="nil"/>
            </w:tcBorders>
            <w:shd w:val="clear" w:color="auto" w:fill="auto"/>
            <w:tcMar>
              <w:top w:w="15" w:type="dxa"/>
              <w:left w:w="15" w:type="dxa"/>
              <w:right w:w="15" w:type="dxa"/>
            </w:tcMar>
            <w:vAlign w:val="center"/>
          </w:tcPr>
          <w:p>
            <w:pPr>
              <w:pStyle w:val="23"/>
              <w:bidi w:val="0"/>
              <w:jc w:val="center"/>
              <w:rPr>
                <w:rFonts w:hint="eastAsia"/>
                <w:color w:val="auto"/>
                <w:highlight w:val="none"/>
              </w:rPr>
            </w:pPr>
            <w:r>
              <w:rPr>
                <w:rFonts w:hint="eastAsia"/>
                <w:color w:val="auto"/>
                <w:highlight w:val="none"/>
                <w:lang w:val="en-US" w:eastAsia="zh-CN"/>
              </w:rPr>
              <w:t>拦渣率(%)</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633" w:type="pct"/>
            <w:tcBorders>
              <w:tl2br w:val="nil"/>
              <w:tr2bl w:val="nil"/>
            </w:tcBorders>
            <w:shd w:val="clear" w:color="auto" w:fill="auto"/>
            <w:noWrap/>
            <w:tcMar>
              <w:top w:w="15" w:type="dxa"/>
              <w:left w:w="15" w:type="dxa"/>
              <w:right w:w="15" w:type="dxa"/>
            </w:tcMar>
            <w:vAlign w:val="center"/>
          </w:tcPr>
          <w:p>
            <w:pPr>
              <w:pStyle w:val="23"/>
              <w:bidi w:val="0"/>
              <w:jc w:val="center"/>
              <w:rPr>
                <w:rFonts w:hint="default"/>
                <w:color w:val="auto"/>
                <w:highlight w:val="none"/>
              </w:rPr>
            </w:pPr>
            <w:r>
              <w:rPr>
                <w:rFonts w:hint="default"/>
                <w:color w:val="auto"/>
                <w:highlight w:val="none"/>
                <w:lang w:val="en-US" w:eastAsia="zh-CN"/>
              </w:rPr>
              <w:t>1</w:t>
            </w:r>
          </w:p>
        </w:tc>
        <w:tc>
          <w:tcPr>
            <w:tcW w:w="837" w:type="pct"/>
            <w:tcBorders>
              <w:tl2br w:val="nil"/>
              <w:tr2bl w:val="nil"/>
            </w:tcBorders>
            <w:shd w:val="clear" w:color="auto" w:fill="auto"/>
            <w:noWrap/>
            <w:tcMar>
              <w:top w:w="15" w:type="dxa"/>
              <w:left w:w="15" w:type="dxa"/>
              <w:right w:w="15" w:type="dxa"/>
            </w:tcMar>
            <w:vAlign w:val="center"/>
          </w:tcPr>
          <w:p>
            <w:pPr>
              <w:pStyle w:val="23"/>
              <w:bidi w:val="0"/>
              <w:jc w:val="center"/>
              <w:rPr>
                <w:rFonts w:hint="default"/>
                <w:color w:val="auto"/>
                <w:highlight w:val="none"/>
              </w:rPr>
            </w:pPr>
            <w:r>
              <w:rPr>
                <w:rFonts w:hint="default"/>
                <w:color w:val="auto"/>
                <w:highlight w:val="none"/>
                <w:lang w:val="en-US" w:eastAsia="zh-CN"/>
              </w:rPr>
              <w:t>建构筑物区</w:t>
            </w:r>
          </w:p>
        </w:tc>
        <w:tc>
          <w:tcPr>
            <w:tcW w:w="1628" w:type="pct"/>
            <w:tcBorders>
              <w:tl2br w:val="nil"/>
              <w:tr2bl w:val="nil"/>
            </w:tcBorders>
            <w:shd w:val="clear" w:color="auto" w:fill="auto"/>
            <w:tcMar>
              <w:top w:w="15" w:type="dxa"/>
              <w:left w:w="15" w:type="dxa"/>
              <w:right w:w="15" w:type="dxa"/>
            </w:tcMar>
            <w:vAlign w:val="center"/>
          </w:tcPr>
          <w:p>
            <w:pPr>
              <w:pStyle w:val="23"/>
              <w:bidi w:val="0"/>
              <w:jc w:val="center"/>
              <w:rPr>
                <w:rFonts w:hint="default"/>
                <w:color w:val="auto"/>
                <w:highlight w:val="none"/>
              </w:rPr>
            </w:pPr>
            <w:r>
              <w:rPr>
                <w:rFonts w:hint="default"/>
                <w:color w:val="auto"/>
                <w:highlight w:val="none"/>
                <w:lang w:val="en-US" w:eastAsia="zh-CN"/>
              </w:rPr>
              <w:t>8.01</w:t>
            </w:r>
          </w:p>
        </w:tc>
        <w:tc>
          <w:tcPr>
            <w:tcW w:w="840" w:type="pct"/>
            <w:tcBorders>
              <w:tl2br w:val="nil"/>
              <w:tr2bl w:val="nil"/>
            </w:tcBorders>
            <w:shd w:val="clear" w:color="auto" w:fill="auto"/>
            <w:noWrap/>
            <w:tcMar>
              <w:top w:w="15" w:type="dxa"/>
              <w:left w:w="15" w:type="dxa"/>
              <w:right w:w="15" w:type="dxa"/>
            </w:tcMar>
            <w:vAlign w:val="center"/>
          </w:tcPr>
          <w:p>
            <w:pPr>
              <w:pStyle w:val="23"/>
              <w:bidi w:val="0"/>
              <w:jc w:val="center"/>
              <w:rPr>
                <w:rFonts w:hint="default"/>
                <w:color w:val="auto"/>
                <w:highlight w:val="none"/>
              </w:rPr>
            </w:pPr>
            <w:r>
              <w:rPr>
                <w:rFonts w:hint="default"/>
                <w:color w:val="auto"/>
                <w:highlight w:val="none"/>
                <w:lang w:val="en-US" w:eastAsia="zh-CN"/>
              </w:rPr>
              <w:t>8.02</w:t>
            </w:r>
          </w:p>
        </w:tc>
        <w:tc>
          <w:tcPr>
            <w:tcW w:w="1060" w:type="pct"/>
            <w:tcBorders>
              <w:tl2br w:val="nil"/>
              <w:tr2bl w:val="nil"/>
            </w:tcBorders>
            <w:shd w:val="clear" w:color="auto" w:fill="auto"/>
            <w:tcMar>
              <w:top w:w="15" w:type="dxa"/>
              <w:left w:w="15" w:type="dxa"/>
              <w:right w:w="15" w:type="dxa"/>
            </w:tcMar>
            <w:vAlign w:val="center"/>
          </w:tcPr>
          <w:p>
            <w:pPr>
              <w:pStyle w:val="23"/>
              <w:bidi w:val="0"/>
              <w:jc w:val="center"/>
              <w:rPr>
                <w:rFonts w:hint="default"/>
                <w:color w:val="auto"/>
                <w:highlight w:val="none"/>
              </w:rPr>
            </w:pPr>
            <w:r>
              <w:rPr>
                <w:rFonts w:hint="default"/>
                <w:color w:val="auto"/>
                <w:highlight w:val="none"/>
                <w:lang w:val="en-US" w:eastAsia="zh-CN"/>
              </w:rPr>
              <w:t>99.88</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633" w:type="pct"/>
            <w:tcBorders>
              <w:tl2br w:val="nil"/>
              <w:tr2bl w:val="nil"/>
            </w:tcBorders>
            <w:shd w:val="clear" w:color="auto" w:fill="auto"/>
            <w:noWrap/>
            <w:tcMar>
              <w:top w:w="15" w:type="dxa"/>
              <w:left w:w="15" w:type="dxa"/>
              <w:right w:w="15" w:type="dxa"/>
            </w:tcMar>
            <w:vAlign w:val="center"/>
          </w:tcPr>
          <w:p>
            <w:pPr>
              <w:pStyle w:val="23"/>
              <w:bidi w:val="0"/>
              <w:jc w:val="center"/>
              <w:rPr>
                <w:rFonts w:hint="default"/>
                <w:color w:val="auto"/>
                <w:highlight w:val="none"/>
              </w:rPr>
            </w:pPr>
            <w:r>
              <w:rPr>
                <w:rFonts w:hint="default"/>
                <w:color w:val="auto"/>
                <w:highlight w:val="none"/>
                <w:lang w:val="en-US" w:eastAsia="zh-CN"/>
              </w:rPr>
              <w:t>2</w:t>
            </w:r>
          </w:p>
        </w:tc>
        <w:tc>
          <w:tcPr>
            <w:tcW w:w="837" w:type="pct"/>
            <w:tcBorders>
              <w:tl2br w:val="nil"/>
              <w:tr2bl w:val="nil"/>
            </w:tcBorders>
            <w:shd w:val="clear" w:color="auto" w:fill="auto"/>
            <w:noWrap/>
            <w:tcMar>
              <w:top w:w="15" w:type="dxa"/>
              <w:left w:w="15" w:type="dxa"/>
              <w:right w:w="15" w:type="dxa"/>
            </w:tcMar>
            <w:vAlign w:val="center"/>
          </w:tcPr>
          <w:p>
            <w:pPr>
              <w:pStyle w:val="23"/>
              <w:bidi w:val="0"/>
              <w:jc w:val="center"/>
              <w:rPr>
                <w:rFonts w:hint="default"/>
                <w:color w:val="auto"/>
                <w:highlight w:val="none"/>
              </w:rPr>
            </w:pPr>
            <w:r>
              <w:rPr>
                <w:rFonts w:hint="default"/>
                <w:color w:val="auto"/>
                <w:highlight w:val="none"/>
                <w:lang w:val="en-US" w:eastAsia="zh-CN"/>
              </w:rPr>
              <w:t>道路及硬化工程</w:t>
            </w:r>
          </w:p>
        </w:tc>
        <w:tc>
          <w:tcPr>
            <w:tcW w:w="1628" w:type="pct"/>
            <w:tcBorders>
              <w:tl2br w:val="nil"/>
              <w:tr2bl w:val="nil"/>
            </w:tcBorders>
            <w:shd w:val="clear" w:color="auto" w:fill="auto"/>
            <w:tcMar>
              <w:top w:w="15" w:type="dxa"/>
              <w:left w:w="15" w:type="dxa"/>
              <w:right w:w="15" w:type="dxa"/>
            </w:tcMar>
            <w:vAlign w:val="center"/>
          </w:tcPr>
          <w:p>
            <w:pPr>
              <w:pStyle w:val="23"/>
              <w:bidi w:val="0"/>
              <w:jc w:val="center"/>
              <w:rPr>
                <w:rFonts w:hint="default"/>
                <w:color w:val="auto"/>
                <w:highlight w:val="none"/>
              </w:rPr>
            </w:pPr>
            <w:r>
              <w:rPr>
                <w:rFonts w:hint="default"/>
                <w:color w:val="auto"/>
                <w:highlight w:val="none"/>
                <w:lang w:val="en-US" w:eastAsia="zh-CN"/>
              </w:rPr>
              <w:t>4.25</w:t>
            </w:r>
          </w:p>
        </w:tc>
        <w:tc>
          <w:tcPr>
            <w:tcW w:w="840" w:type="pct"/>
            <w:tcBorders>
              <w:tl2br w:val="nil"/>
              <w:tr2bl w:val="nil"/>
            </w:tcBorders>
            <w:shd w:val="clear" w:color="auto" w:fill="auto"/>
            <w:noWrap/>
            <w:tcMar>
              <w:top w:w="15" w:type="dxa"/>
              <w:left w:w="15" w:type="dxa"/>
              <w:right w:w="15" w:type="dxa"/>
            </w:tcMar>
            <w:vAlign w:val="center"/>
          </w:tcPr>
          <w:p>
            <w:pPr>
              <w:pStyle w:val="23"/>
              <w:bidi w:val="0"/>
              <w:jc w:val="center"/>
              <w:rPr>
                <w:rFonts w:hint="default"/>
                <w:color w:val="auto"/>
                <w:highlight w:val="none"/>
              </w:rPr>
            </w:pPr>
            <w:r>
              <w:rPr>
                <w:rFonts w:hint="default"/>
                <w:color w:val="auto"/>
                <w:highlight w:val="none"/>
                <w:lang w:val="en-US" w:eastAsia="zh-CN"/>
              </w:rPr>
              <w:t>4.26</w:t>
            </w:r>
          </w:p>
        </w:tc>
        <w:tc>
          <w:tcPr>
            <w:tcW w:w="1060" w:type="pct"/>
            <w:tcBorders>
              <w:tl2br w:val="nil"/>
              <w:tr2bl w:val="nil"/>
            </w:tcBorders>
            <w:shd w:val="clear" w:color="auto" w:fill="auto"/>
            <w:tcMar>
              <w:top w:w="15" w:type="dxa"/>
              <w:left w:w="15" w:type="dxa"/>
              <w:right w:w="15" w:type="dxa"/>
            </w:tcMar>
            <w:vAlign w:val="center"/>
          </w:tcPr>
          <w:p>
            <w:pPr>
              <w:pStyle w:val="23"/>
              <w:bidi w:val="0"/>
              <w:jc w:val="center"/>
              <w:rPr>
                <w:rFonts w:hint="default"/>
                <w:color w:val="auto"/>
                <w:highlight w:val="none"/>
              </w:rPr>
            </w:pPr>
            <w:r>
              <w:rPr>
                <w:rFonts w:hint="default"/>
                <w:color w:val="auto"/>
                <w:highlight w:val="none"/>
                <w:lang w:val="en-US" w:eastAsia="zh-CN"/>
              </w:rPr>
              <w:t>99.77</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633" w:type="pct"/>
            <w:tcBorders>
              <w:tl2br w:val="nil"/>
              <w:tr2bl w:val="nil"/>
            </w:tcBorders>
            <w:shd w:val="clear" w:color="auto" w:fill="auto"/>
            <w:noWrap/>
            <w:tcMar>
              <w:top w:w="15" w:type="dxa"/>
              <w:left w:w="15" w:type="dxa"/>
              <w:right w:w="15" w:type="dxa"/>
            </w:tcMar>
            <w:vAlign w:val="center"/>
          </w:tcPr>
          <w:p>
            <w:pPr>
              <w:pStyle w:val="23"/>
              <w:bidi w:val="0"/>
              <w:jc w:val="center"/>
              <w:rPr>
                <w:rFonts w:hint="default"/>
                <w:color w:val="auto"/>
                <w:highlight w:val="none"/>
              </w:rPr>
            </w:pPr>
            <w:r>
              <w:rPr>
                <w:rFonts w:hint="default"/>
                <w:color w:val="auto"/>
                <w:highlight w:val="none"/>
                <w:lang w:val="en-US" w:eastAsia="zh-CN"/>
              </w:rPr>
              <w:t>3</w:t>
            </w:r>
          </w:p>
        </w:tc>
        <w:tc>
          <w:tcPr>
            <w:tcW w:w="837" w:type="pct"/>
            <w:tcBorders>
              <w:tl2br w:val="nil"/>
              <w:tr2bl w:val="nil"/>
            </w:tcBorders>
            <w:shd w:val="clear" w:color="auto" w:fill="auto"/>
            <w:noWrap/>
            <w:tcMar>
              <w:top w:w="15" w:type="dxa"/>
              <w:left w:w="15" w:type="dxa"/>
              <w:right w:w="15" w:type="dxa"/>
            </w:tcMar>
            <w:vAlign w:val="center"/>
          </w:tcPr>
          <w:p>
            <w:pPr>
              <w:pStyle w:val="23"/>
              <w:bidi w:val="0"/>
              <w:jc w:val="center"/>
              <w:rPr>
                <w:rFonts w:hint="default"/>
                <w:color w:val="auto"/>
                <w:highlight w:val="none"/>
              </w:rPr>
            </w:pPr>
            <w:r>
              <w:rPr>
                <w:rFonts w:hint="default"/>
                <w:color w:val="auto"/>
                <w:highlight w:val="none"/>
                <w:lang w:val="en-US" w:eastAsia="zh-CN"/>
              </w:rPr>
              <w:t>绿化工程</w:t>
            </w:r>
          </w:p>
        </w:tc>
        <w:tc>
          <w:tcPr>
            <w:tcW w:w="1628" w:type="pct"/>
            <w:tcBorders>
              <w:tl2br w:val="nil"/>
              <w:tr2bl w:val="nil"/>
            </w:tcBorders>
            <w:shd w:val="clear" w:color="auto" w:fill="auto"/>
            <w:tcMar>
              <w:top w:w="15" w:type="dxa"/>
              <w:left w:w="15" w:type="dxa"/>
              <w:right w:w="15" w:type="dxa"/>
            </w:tcMar>
            <w:vAlign w:val="center"/>
          </w:tcPr>
          <w:p>
            <w:pPr>
              <w:pStyle w:val="23"/>
              <w:bidi w:val="0"/>
              <w:jc w:val="center"/>
              <w:rPr>
                <w:rFonts w:hint="default"/>
                <w:color w:val="auto"/>
                <w:highlight w:val="none"/>
              </w:rPr>
            </w:pPr>
            <w:r>
              <w:rPr>
                <w:rFonts w:hint="default"/>
                <w:color w:val="auto"/>
                <w:highlight w:val="none"/>
                <w:lang w:val="en-US" w:eastAsia="zh-CN"/>
              </w:rPr>
              <w:t>0.61</w:t>
            </w:r>
          </w:p>
        </w:tc>
        <w:tc>
          <w:tcPr>
            <w:tcW w:w="840" w:type="pct"/>
            <w:tcBorders>
              <w:tl2br w:val="nil"/>
              <w:tr2bl w:val="nil"/>
            </w:tcBorders>
            <w:shd w:val="clear" w:color="auto" w:fill="auto"/>
            <w:noWrap/>
            <w:tcMar>
              <w:top w:w="15" w:type="dxa"/>
              <w:left w:w="15" w:type="dxa"/>
              <w:right w:w="15" w:type="dxa"/>
            </w:tcMar>
            <w:vAlign w:val="center"/>
          </w:tcPr>
          <w:p>
            <w:pPr>
              <w:pStyle w:val="23"/>
              <w:bidi w:val="0"/>
              <w:jc w:val="center"/>
              <w:rPr>
                <w:rFonts w:hint="default"/>
                <w:color w:val="auto"/>
                <w:highlight w:val="none"/>
              </w:rPr>
            </w:pPr>
            <w:r>
              <w:rPr>
                <w:rFonts w:hint="default"/>
                <w:color w:val="auto"/>
                <w:highlight w:val="none"/>
                <w:lang w:val="en-US" w:eastAsia="zh-CN"/>
              </w:rPr>
              <w:t>0.61</w:t>
            </w:r>
          </w:p>
        </w:tc>
        <w:tc>
          <w:tcPr>
            <w:tcW w:w="1060" w:type="pct"/>
            <w:tcBorders>
              <w:tl2br w:val="nil"/>
              <w:tr2bl w:val="nil"/>
            </w:tcBorders>
            <w:shd w:val="clear" w:color="auto" w:fill="auto"/>
            <w:tcMar>
              <w:top w:w="15" w:type="dxa"/>
              <w:left w:w="15" w:type="dxa"/>
              <w:right w:w="15" w:type="dxa"/>
            </w:tcMar>
            <w:vAlign w:val="center"/>
          </w:tcPr>
          <w:p>
            <w:pPr>
              <w:pStyle w:val="23"/>
              <w:bidi w:val="0"/>
              <w:jc w:val="center"/>
              <w:rPr>
                <w:rFonts w:hint="default"/>
                <w:color w:val="auto"/>
                <w:highlight w:val="none"/>
              </w:rPr>
            </w:pPr>
            <w:r>
              <w:rPr>
                <w:rFonts w:hint="default"/>
                <w:color w:val="auto"/>
                <w:highlight w:val="none"/>
                <w:lang w:val="en-US" w:eastAsia="zh-CN"/>
              </w:rPr>
              <w:t>100.00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1470" w:type="pct"/>
            <w:gridSpan w:val="2"/>
            <w:tcBorders>
              <w:tl2br w:val="nil"/>
              <w:tr2bl w:val="nil"/>
            </w:tcBorders>
            <w:shd w:val="clear" w:color="auto" w:fill="auto"/>
            <w:noWrap/>
            <w:tcMar>
              <w:top w:w="15" w:type="dxa"/>
              <w:left w:w="15" w:type="dxa"/>
              <w:right w:w="15" w:type="dxa"/>
            </w:tcMar>
            <w:vAlign w:val="center"/>
          </w:tcPr>
          <w:p>
            <w:pPr>
              <w:pStyle w:val="23"/>
              <w:bidi w:val="0"/>
              <w:jc w:val="center"/>
              <w:rPr>
                <w:rFonts w:hint="default"/>
                <w:color w:val="auto"/>
                <w:highlight w:val="none"/>
              </w:rPr>
            </w:pPr>
            <w:r>
              <w:rPr>
                <w:rFonts w:hint="default"/>
                <w:color w:val="auto"/>
                <w:highlight w:val="none"/>
                <w:lang w:val="en-US" w:eastAsia="zh-CN"/>
              </w:rPr>
              <w:t>小计</w:t>
            </w:r>
          </w:p>
        </w:tc>
        <w:tc>
          <w:tcPr>
            <w:tcW w:w="1628" w:type="pct"/>
            <w:tcBorders>
              <w:tl2br w:val="nil"/>
              <w:tr2bl w:val="nil"/>
            </w:tcBorders>
            <w:shd w:val="clear" w:color="auto" w:fill="auto"/>
            <w:tcMar>
              <w:top w:w="15" w:type="dxa"/>
              <w:left w:w="15" w:type="dxa"/>
              <w:right w:w="15" w:type="dxa"/>
            </w:tcMar>
            <w:vAlign w:val="center"/>
          </w:tcPr>
          <w:p>
            <w:pPr>
              <w:pStyle w:val="23"/>
              <w:bidi w:val="0"/>
              <w:jc w:val="center"/>
              <w:rPr>
                <w:rFonts w:hint="default"/>
                <w:color w:val="auto"/>
                <w:highlight w:val="none"/>
              </w:rPr>
            </w:pPr>
            <w:r>
              <w:rPr>
                <w:rFonts w:hint="default"/>
                <w:color w:val="auto"/>
                <w:highlight w:val="none"/>
                <w:lang w:val="en-US" w:eastAsia="zh-CN"/>
              </w:rPr>
              <w:t>12.87</w:t>
            </w:r>
          </w:p>
        </w:tc>
        <w:tc>
          <w:tcPr>
            <w:tcW w:w="840" w:type="pct"/>
            <w:tcBorders>
              <w:tl2br w:val="nil"/>
              <w:tr2bl w:val="nil"/>
            </w:tcBorders>
            <w:shd w:val="clear" w:color="auto" w:fill="auto"/>
            <w:noWrap/>
            <w:tcMar>
              <w:top w:w="15" w:type="dxa"/>
              <w:left w:w="15" w:type="dxa"/>
              <w:right w:w="15" w:type="dxa"/>
            </w:tcMar>
            <w:vAlign w:val="center"/>
          </w:tcPr>
          <w:p>
            <w:pPr>
              <w:pStyle w:val="23"/>
              <w:bidi w:val="0"/>
              <w:jc w:val="center"/>
              <w:rPr>
                <w:rFonts w:hint="default"/>
                <w:color w:val="auto"/>
                <w:highlight w:val="none"/>
              </w:rPr>
            </w:pPr>
            <w:r>
              <w:rPr>
                <w:rFonts w:hint="default"/>
                <w:color w:val="auto"/>
                <w:highlight w:val="none"/>
                <w:lang w:val="en-US" w:eastAsia="zh-CN"/>
              </w:rPr>
              <w:t>12.89</w:t>
            </w:r>
          </w:p>
        </w:tc>
        <w:tc>
          <w:tcPr>
            <w:tcW w:w="1060" w:type="pct"/>
            <w:tcBorders>
              <w:tl2br w:val="nil"/>
              <w:tr2bl w:val="nil"/>
            </w:tcBorders>
            <w:shd w:val="clear" w:color="auto" w:fill="auto"/>
            <w:tcMar>
              <w:top w:w="15" w:type="dxa"/>
              <w:left w:w="15" w:type="dxa"/>
              <w:right w:w="15" w:type="dxa"/>
            </w:tcMar>
            <w:vAlign w:val="center"/>
          </w:tcPr>
          <w:p>
            <w:pPr>
              <w:pStyle w:val="23"/>
              <w:bidi w:val="0"/>
              <w:jc w:val="center"/>
              <w:rPr>
                <w:rFonts w:hint="default"/>
                <w:color w:val="auto"/>
                <w:highlight w:val="none"/>
              </w:rPr>
            </w:pPr>
            <w:r>
              <w:rPr>
                <w:rFonts w:hint="default"/>
                <w:color w:val="auto"/>
                <w:highlight w:val="none"/>
                <w:lang w:val="en-US" w:eastAsia="zh-CN"/>
              </w:rPr>
              <w:t>99.84</w:t>
            </w:r>
          </w:p>
        </w:tc>
      </w:tr>
    </w:tbl>
    <w:p>
      <w:pPr>
        <w:pStyle w:val="3"/>
        <w:rPr>
          <w:rFonts w:ascii="Times New Roman" w:hAnsi="Times New Roman" w:cs="Times New Roman"/>
        </w:rPr>
      </w:pPr>
      <w:r>
        <w:rPr>
          <w:rFonts w:ascii="Times New Roman" w:hAnsi="Times New Roman" w:cs="Times New Roman"/>
        </w:rPr>
        <w:t>林草植被恢复率</w:t>
      </w:r>
      <w:bookmarkEnd w:id="99"/>
    </w:p>
    <w:p>
      <w:pPr>
        <w:ind w:firstLine="480"/>
        <w:rPr>
          <w:rFonts w:cs="Times New Roman"/>
        </w:rPr>
      </w:pPr>
      <w:r>
        <w:rPr>
          <w:rFonts w:cs="Times New Roman"/>
        </w:rPr>
        <w:t>根据水土保持监测结果并结合项目建设前后遥感影像分析，工程可绿化面积</w:t>
      </w:r>
      <w:r>
        <w:rPr>
          <w:rFonts w:hint="eastAsia" w:cs="Times New Roman"/>
          <w:lang w:eastAsia="zh-CN"/>
        </w:rPr>
        <w:t>0.310</w:t>
      </w:r>
      <w:r>
        <w:rPr>
          <w:rFonts w:hint="eastAsia" w:cs="Times New Roman"/>
        </w:rPr>
        <w:t xml:space="preserve"> h</w:t>
      </w:r>
      <w:r>
        <w:rPr>
          <w:rFonts w:cs="Times New Roman"/>
        </w:rPr>
        <w:t>m</w:t>
      </w:r>
      <w:r>
        <w:rPr>
          <w:rFonts w:cs="Times New Roman"/>
          <w:vertAlign w:val="superscript"/>
        </w:rPr>
        <w:t>2</w:t>
      </w:r>
      <w:r>
        <w:rPr>
          <w:rFonts w:cs="Times New Roman"/>
        </w:rPr>
        <w:t>，实际恢复的林草植被面积</w:t>
      </w:r>
      <w:r>
        <w:rPr>
          <w:rFonts w:hint="eastAsia" w:cs="Times New Roman"/>
          <w:lang w:eastAsia="zh-CN"/>
        </w:rPr>
        <w:t>0.309</w:t>
      </w:r>
      <w:r>
        <w:rPr>
          <w:rFonts w:hint="eastAsia" w:cs="Times New Roman"/>
        </w:rPr>
        <w:t xml:space="preserve"> </w:t>
      </w:r>
      <w:r>
        <w:rPr>
          <w:rFonts w:cs="Times New Roman"/>
        </w:rPr>
        <w:t>hm</w:t>
      </w:r>
      <w:r>
        <w:rPr>
          <w:rFonts w:cs="Times New Roman"/>
          <w:vertAlign w:val="superscript"/>
        </w:rPr>
        <w:t>2</w:t>
      </w:r>
      <w:r>
        <w:rPr>
          <w:rFonts w:cs="Times New Roman"/>
        </w:rPr>
        <w:t>，林草植被恢复率为</w:t>
      </w:r>
      <w:r>
        <w:rPr>
          <w:rFonts w:hint="eastAsia" w:cs="Times New Roman"/>
          <w:lang w:eastAsia="zh-CN"/>
        </w:rPr>
        <w:t>99.61</w:t>
      </w:r>
      <w:r>
        <w:rPr>
          <w:rFonts w:cs="Times New Roman"/>
        </w:rPr>
        <w:t>%，达到批复的水土保持方案确定的防治目标值9</w:t>
      </w:r>
      <w:r>
        <w:rPr>
          <w:rFonts w:hint="eastAsia" w:cs="Times New Roman"/>
        </w:rPr>
        <w:t>9</w:t>
      </w:r>
      <w:r>
        <w:rPr>
          <w:rFonts w:cs="Times New Roman"/>
        </w:rPr>
        <w:t>%。</w:t>
      </w:r>
    </w:p>
    <w:p>
      <w:pPr>
        <w:pStyle w:val="24"/>
        <w:rPr>
          <w:rFonts w:cs="Times New Roman"/>
        </w:rPr>
      </w:pPr>
      <w:r>
        <w:rPr>
          <w:rFonts w:cs="Times New Roman"/>
        </w:rPr>
        <w:t>表</w:t>
      </w:r>
      <w:r>
        <w:rPr>
          <w:rFonts w:hint="eastAsia" w:cs="Times New Roman"/>
        </w:rPr>
        <w:t>6.5-1</w:t>
      </w:r>
      <w:r>
        <w:rPr>
          <w:rFonts w:cs="Times New Roman"/>
        </w:rPr>
        <w:t>各分区林草植被恢复率一览表</w:t>
      </w:r>
    </w:p>
    <w:tbl>
      <w:tblPr>
        <w:tblStyle w:val="13"/>
        <w:tblW w:w="5000"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667"/>
        <w:gridCol w:w="1830"/>
        <w:gridCol w:w="1104"/>
        <w:gridCol w:w="1745"/>
        <w:gridCol w:w="1854"/>
        <w:gridCol w:w="1900"/>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trHeight w:val="23" w:hRule="atLeast"/>
        </w:trPr>
        <w:tc>
          <w:tcPr>
            <w:tcW w:w="419" w:type="pct"/>
            <w:tcBorders>
              <w:tl2br w:val="nil"/>
              <w:tr2bl w:val="nil"/>
            </w:tcBorders>
            <w:shd w:val="clear" w:color="auto" w:fill="auto"/>
            <w:tcMar>
              <w:top w:w="15" w:type="dxa"/>
              <w:left w:w="15" w:type="dxa"/>
              <w:right w:w="15" w:type="dxa"/>
            </w:tcMar>
            <w:vAlign w:val="center"/>
          </w:tcPr>
          <w:p>
            <w:pPr>
              <w:pStyle w:val="23"/>
              <w:rPr>
                <w:color w:val="auto"/>
                <w:highlight w:val="none"/>
              </w:rPr>
            </w:pPr>
            <w:bookmarkStart w:id="100" w:name="_Toc19265"/>
            <w:r>
              <w:rPr>
                <w:color w:val="auto"/>
                <w:highlight w:val="none"/>
              </w:rPr>
              <w:t>序号</w:t>
            </w:r>
          </w:p>
        </w:tc>
        <w:tc>
          <w:tcPr>
            <w:tcW w:w="742" w:type="pct"/>
            <w:tcBorders>
              <w:tl2br w:val="nil"/>
              <w:tr2bl w:val="nil"/>
            </w:tcBorders>
            <w:shd w:val="clear" w:color="auto" w:fill="auto"/>
            <w:tcMar>
              <w:top w:w="15" w:type="dxa"/>
              <w:left w:w="15" w:type="dxa"/>
              <w:right w:w="15" w:type="dxa"/>
            </w:tcMar>
            <w:vAlign w:val="center"/>
          </w:tcPr>
          <w:p>
            <w:pPr>
              <w:pStyle w:val="23"/>
              <w:rPr>
                <w:color w:val="auto"/>
                <w:highlight w:val="none"/>
              </w:rPr>
            </w:pPr>
            <w:r>
              <w:rPr>
                <w:color w:val="auto"/>
                <w:highlight w:val="none"/>
              </w:rPr>
              <w:t>防治分区</w:t>
            </w:r>
          </w:p>
        </w:tc>
        <w:tc>
          <w:tcPr>
            <w:tcW w:w="659" w:type="pct"/>
            <w:tcBorders>
              <w:tl2br w:val="nil"/>
              <w:tr2bl w:val="nil"/>
            </w:tcBorders>
            <w:shd w:val="clear" w:color="auto" w:fill="auto"/>
            <w:tcMar>
              <w:top w:w="15" w:type="dxa"/>
              <w:left w:w="15" w:type="dxa"/>
              <w:right w:w="15" w:type="dxa"/>
            </w:tcMar>
            <w:vAlign w:val="center"/>
          </w:tcPr>
          <w:p>
            <w:pPr>
              <w:pStyle w:val="23"/>
              <w:rPr>
                <w:color w:val="auto"/>
                <w:highlight w:val="none"/>
              </w:rPr>
            </w:pPr>
            <w:r>
              <w:rPr>
                <w:color w:val="auto"/>
                <w:highlight w:val="none"/>
              </w:rPr>
              <w:t>项目建设区</w:t>
            </w:r>
          </w:p>
        </w:tc>
        <w:tc>
          <w:tcPr>
            <w:tcW w:w="1011" w:type="pct"/>
            <w:tcBorders>
              <w:tl2br w:val="nil"/>
              <w:tr2bl w:val="nil"/>
            </w:tcBorders>
            <w:shd w:val="clear" w:color="auto" w:fill="auto"/>
            <w:tcMar>
              <w:top w:w="15" w:type="dxa"/>
              <w:left w:w="15" w:type="dxa"/>
              <w:right w:w="15" w:type="dxa"/>
            </w:tcMar>
            <w:vAlign w:val="center"/>
          </w:tcPr>
          <w:p>
            <w:pPr>
              <w:pStyle w:val="23"/>
              <w:rPr>
                <w:color w:val="auto"/>
                <w:highlight w:val="none"/>
              </w:rPr>
            </w:pPr>
            <w:r>
              <w:rPr>
                <w:color w:val="auto"/>
                <w:highlight w:val="none"/>
              </w:rPr>
              <w:t>可恢复林草植被面积</w:t>
            </w:r>
          </w:p>
        </w:tc>
        <w:tc>
          <w:tcPr>
            <w:tcW w:w="1071" w:type="pct"/>
            <w:tcBorders>
              <w:tl2br w:val="nil"/>
              <w:tr2bl w:val="nil"/>
            </w:tcBorders>
            <w:shd w:val="clear" w:color="auto" w:fill="auto"/>
            <w:tcMar>
              <w:top w:w="15" w:type="dxa"/>
              <w:left w:w="15" w:type="dxa"/>
              <w:right w:w="15" w:type="dxa"/>
            </w:tcMar>
            <w:vAlign w:val="center"/>
          </w:tcPr>
          <w:p>
            <w:pPr>
              <w:pStyle w:val="23"/>
              <w:rPr>
                <w:color w:val="auto"/>
                <w:highlight w:val="none"/>
              </w:rPr>
            </w:pPr>
            <w:r>
              <w:rPr>
                <w:rFonts w:hint="eastAsia"/>
                <w:color w:val="auto"/>
                <w:highlight w:val="none"/>
              </w:rPr>
              <w:t>已绿化或自然恢复面积</w:t>
            </w:r>
          </w:p>
        </w:tc>
        <w:tc>
          <w:tcPr>
            <w:tcW w:w="1097" w:type="pct"/>
            <w:tcBorders>
              <w:tl2br w:val="nil"/>
              <w:tr2bl w:val="nil"/>
            </w:tcBorders>
            <w:shd w:val="clear" w:color="auto" w:fill="auto"/>
            <w:tcMar>
              <w:top w:w="15" w:type="dxa"/>
              <w:left w:w="15" w:type="dxa"/>
              <w:right w:w="15" w:type="dxa"/>
            </w:tcMar>
            <w:vAlign w:val="center"/>
          </w:tcPr>
          <w:p>
            <w:pPr>
              <w:pStyle w:val="23"/>
              <w:rPr>
                <w:color w:val="auto"/>
                <w:highlight w:val="none"/>
              </w:rPr>
            </w:pPr>
            <w:r>
              <w:rPr>
                <w:color w:val="auto"/>
                <w:highlight w:val="none"/>
              </w:rPr>
              <w:t>林草植被恢复率(%)</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419" w:type="pct"/>
            <w:tcBorders>
              <w:tl2br w:val="nil"/>
              <w:tr2bl w:val="nil"/>
            </w:tcBorders>
            <w:shd w:val="clear" w:color="auto" w:fill="auto"/>
            <w:noWrap/>
            <w:tcMar>
              <w:top w:w="15" w:type="dxa"/>
              <w:left w:w="15" w:type="dxa"/>
              <w:right w:w="15" w:type="dxa"/>
            </w:tcMar>
            <w:vAlign w:val="center"/>
          </w:tcPr>
          <w:p>
            <w:pPr>
              <w:pStyle w:val="23"/>
              <w:rPr>
                <w:color w:val="auto"/>
                <w:highlight w:val="none"/>
              </w:rPr>
            </w:pPr>
            <w:r>
              <w:rPr>
                <w:color w:val="auto"/>
                <w:highlight w:val="none"/>
              </w:rPr>
              <w:t>1</w:t>
            </w:r>
          </w:p>
        </w:tc>
        <w:tc>
          <w:tcPr>
            <w:tcW w:w="742" w:type="pct"/>
            <w:tcBorders>
              <w:tl2br w:val="nil"/>
              <w:tr2bl w:val="nil"/>
            </w:tcBorders>
            <w:shd w:val="clear" w:color="auto" w:fill="auto"/>
            <w:noWrap/>
            <w:tcMar>
              <w:top w:w="15" w:type="dxa"/>
              <w:left w:w="15" w:type="dxa"/>
              <w:right w:w="15" w:type="dxa"/>
            </w:tcMar>
            <w:vAlign w:val="center"/>
          </w:tcPr>
          <w:p>
            <w:pPr>
              <w:pStyle w:val="23"/>
              <w:rPr>
                <w:rFonts w:hint="eastAsia" w:eastAsia="仿宋"/>
                <w:color w:val="auto"/>
                <w:highlight w:val="none"/>
                <w:lang w:eastAsia="zh-CN"/>
              </w:rPr>
            </w:pPr>
            <w:r>
              <w:rPr>
                <w:rFonts w:hint="eastAsia"/>
                <w:color w:val="auto"/>
                <w:highlight w:val="none"/>
                <w:lang w:eastAsia="zh-CN"/>
              </w:rPr>
              <w:t>建构筑物防治区</w:t>
            </w:r>
          </w:p>
        </w:tc>
        <w:tc>
          <w:tcPr>
            <w:tcW w:w="1104" w:type="dxa"/>
            <w:tcBorders>
              <w:tl2br w:val="nil"/>
              <w:tr2bl w:val="nil"/>
            </w:tcBorders>
            <w:shd w:val="clear" w:color="auto" w:fill="auto"/>
            <w:tcMar>
              <w:top w:w="15" w:type="dxa"/>
              <w:left w:w="15" w:type="dxa"/>
              <w:right w:w="15" w:type="dxa"/>
            </w:tcMar>
            <w:vAlign w:val="center"/>
          </w:tcPr>
          <w:p>
            <w:pPr>
              <w:pStyle w:val="23"/>
              <w:bidi w:val="0"/>
              <w:rPr>
                <w:rFonts w:hint="eastAsia"/>
                <w:color w:val="auto"/>
                <w:highlight w:val="none"/>
                <w:lang w:eastAsia="zh-CN"/>
              </w:rPr>
            </w:pPr>
            <w:r>
              <w:rPr>
                <w:rFonts w:hint="default"/>
                <w:color w:val="auto"/>
                <w:highlight w:val="none"/>
                <w:lang w:val="en-US" w:eastAsia="zh-CN"/>
              </w:rPr>
              <w:t>2.77</w:t>
            </w:r>
          </w:p>
        </w:tc>
        <w:tc>
          <w:tcPr>
            <w:tcW w:w="1745" w:type="dxa"/>
            <w:tcBorders>
              <w:tl2br w:val="nil"/>
              <w:tr2bl w:val="nil"/>
            </w:tcBorders>
            <w:shd w:val="clear" w:color="auto" w:fill="auto"/>
            <w:tcMar>
              <w:top w:w="15" w:type="dxa"/>
              <w:left w:w="15" w:type="dxa"/>
              <w:right w:w="15" w:type="dxa"/>
            </w:tcMar>
            <w:vAlign w:val="center"/>
          </w:tcPr>
          <w:p>
            <w:pPr>
              <w:pStyle w:val="23"/>
              <w:bidi w:val="0"/>
              <w:rPr>
                <w:color w:val="auto"/>
                <w:highlight w:val="none"/>
              </w:rPr>
            </w:pPr>
            <w:r>
              <w:rPr>
                <w:rFonts w:hint="default"/>
                <w:color w:val="auto"/>
                <w:highlight w:val="none"/>
                <w:lang w:val="en-US" w:eastAsia="zh-CN"/>
              </w:rPr>
              <w:t xml:space="preserve">0.000 </w:t>
            </w:r>
          </w:p>
        </w:tc>
        <w:tc>
          <w:tcPr>
            <w:tcW w:w="1854" w:type="dxa"/>
            <w:tcBorders>
              <w:tl2br w:val="nil"/>
              <w:tr2bl w:val="nil"/>
            </w:tcBorders>
            <w:shd w:val="clear" w:color="auto" w:fill="auto"/>
            <w:tcMar>
              <w:top w:w="15" w:type="dxa"/>
              <w:left w:w="15" w:type="dxa"/>
              <w:right w:w="15" w:type="dxa"/>
            </w:tcMar>
            <w:vAlign w:val="center"/>
          </w:tcPr>
          <w:p>
            <w:pPr>
              <w:pStyle w:val="23"/>
              <w:bidi w:val="0"/>
              <w:rPr>
                <w:color w:val="auto"/>
                <w:highlight w:val="none"/>
              </w:rPr>
            </w:pPr>
            <w:r>
              <w:rPr>
                <w:rFonts w:hint="default"/>
                <w:color w:val="auto"/>
                <w:highlight w:val="none"/>
                <w:lang w:val="en-US" w:eastAsia="zh-CN"/>
              </w:rPr>
              <w:t xml:space="preserve">0.000 </w:t>
            </w:r>
          </w:p>
        </w:tc>
        <w:tc>
          <w:tcPr>
            <w:tcW w:w="1902" w:type="dxa"/>
            <w:tcBorders>
              <w:tl2br w:val="nil"/>
              <w:tr2bl w:val="nil"/>
            </w:tcBorders>
            <w:shd w:val="clear" w:color="auto" w:fill="auto"/>
            <w:tcMar>
              <w:top w:w="15" w:type="dxa"/>
              <w:left w:w="15" w:type="dxa"/>
              <w:right w:w="15" w:type="dxa"/>
            </w:tcMar>
            <w:vAlign w:val="center"/>
          </w:tcPr>
          <w:p>
            <w:pPr>
              <w:pStyle w:val="23"/>
              <w:bidi w:val="0"/>
              <w:rPr>
                <w:color w:val="auto"/>
                <w:highlight w:val="none"/>
              </w:rPr>
            </w:pPr>
            <w:r>
              <w:rPr>
                <w:rFonts w:hint="default"/>
                <w:color w:val="auto"/>
                <w:highlight w:val="none"/>
                <w:lang w:val="en-US" w:eastAsia="zh-CN"/>
              </w:rPr>
              <w:t>0.00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419" w:type="pct"/>
            <w:tcBorders>
              <w:tl2br w:val="nil"/>
              <w:tr2bl w:val="nil"/>
            </w:tcBorders>
            <w:shd w:val="clear" w:color="auto" w:fill="auto"/>
            <w:noWrap/>
            <w:tcMar>
              <w:top w:w="15" w:type="dxa"/>
              <w:left w:w="15" w:type="dxa"/>
              <w:right w:w="15" w:type="dxa"/>
            </w:tcMar>
            <w:vAlign w:val="center"/>
          </w:tcPr>
          <w:p>
            <w:pPr>
              <w:pStyle w:val="23"/>
              <w:rPr>
                <w:color w:val="auto"/>
                <w:highlight w:val="none"/>
              </w:rPr>
            </w:pPr>
            <w:r>
              <w:rPr>
                <w:color w:val="auto"/>
                <w:highlight w:val="none"/>
              </w:rPr>
              <w:t>2</w:t>
            </w:r>
          </w:p>
        </w:tc>
        <w:tc>
          <w:tcPr>
            <w:tcW w:w="742" w:type="pct"/>
            <w:tcBorders>
              <w:tl2br w:val="nil"/>
              <w:tr2bl w:val="nil"/>
            </w:tcBorders>
            <w:shd w:val="clear" w:color="auto" w:fill="auto"/>
            <w:noWrap/>
            <w:tcMar>
              <w:top w:w="15" w:type="dxa"/>
              <w:left w:w="15" w:type="dxa"/>
              <w:right w:w="15" w:type="dxa"/>
            </w:tcMar>
            <w:vAlign w:val="center"/>
          </w:tcPr>
          <w:p>
            <w:pPr>
              <w:pStyle w:val="23"/>
              <w:rPr>
                <w:rFonts w:hint="eastAsia" w:eastAsia="仿宋"/>
                <w:color w:val="auto"/>
                <w:highlight w:val="none"/>
                <w:lang w:eastAsia="zh-CN"/>
              </w:rPr>
            </w:pPr>
            <w:r>
              <w:rPr>
                <w:rFonts w:hint="eastAsia"/>
                <w:color w:val="auto"/>
                <w:highlight w:val="none"/>
                <w:lang w:eastAsia="zh-CN"/>
              </w:rPr>
              <w:t>道路及硬化工程防治区</w:t>
            </w:r>
          </w:p>
        </w:tc>
        <w:tc>
          <w:tcPr>
            <w:tcW w:w="1104" w:type="dxa"/>
            <w:tcBorders>
              <w:tl2br w:val="nil"/>
              <w:tr2bl w:val="nil"/>
            </w:tcBorders>
            <w:shd w:val="clear" w:color="auto" w:fill="auto"/>
            <w:tcMar>
              <w:top w:w="15" w:type="dxa"/>
              <w:left w:w="15" w:type="dxa"/>
              <w:right w:w="15" w:type="dxa"/>
            </w:tcMar>
            <w:vAlign w:val="center"/>
          </w:tcPr>
          <w:p>
            <w:pPr>
              <w:pStyle w:val="23"/>
              <w:bidi w:val="0"/>
              <w:rPr>
                <w:color w:val="auto"/>
                <w:highlight w:val="none"/>
              </w:rPr>
            </w:pPr>
            <w:r>
              <w:rPr>
                <w:rFonts w:hint="default"/>
                <w:color w:val="auto"/>
                <w:highlight w:val="none"/>
                <w:lang w:val="en-US" w:eastAsia="zh-CN"/>
              </w:rPr>
              <w:t>1.47</w:t>
            </w:r>
          </w:p>
        </w:tc>
        <w:tc>
          <w:tcPr>
            <w:tcW w:w="1745" w:type="dxa"/>
            <w:tcBorders>
              <w:tl2br w:val="nil"/>
              <w:tr2bl w:val="nil"/>
            </w:tcBorders>
            <w:shd w:val="clear" w:color="auto" w:fill="auto"/>
            <w:tcMar>
              <w:top w:w="15" w:type="dxa"/>
              <w:left w:w="15" w:type="dxa"/>
              <w:right w:w="15" w:type="dxa"/>
            </w:tcMar>
            <w:vAlign w:val="center"/>
          </w:tcPr>
          <w:p>
            <w:pPr>
              <w:pStyle w:val="23"/>
              <w:bidi w:val="0"/>
              <w:rPr>
                <w:color w:val="auto"/>
                <w:highlight w:val="none"/>
              </w:rPr>
            </w:pPr>
            <w:r>
              <w:rPr>
                <w:rFonts w:hint="default"/>
                <w:color w:val="auto"/>
                <w:highlight w:val="none"/>
                <w:lang w:val="en-US" w:eastAsia="zh-CN"/>
              </w:rPr>
              <w:t xml:space="preserve">0.100 </w:t>
            </w:r>
          </w:p>
        </w:tc>
        <w:tc>
          <w:tcPr>
            <w:tcW w:w="1854" w:type="dxa"/>
            <w:tcBorders>
              <w:tl2br w:val="nil"/>
              <w:tr2bl w:val="nil"/>
            </w:tcBorders>
            <w:shd w:val="clear" w:color="auto" w:fill="auto"/>
            <w:tcMar>
              <w:top w:w="15" w:type="dxa"/>
              <w:left w:w="15" w:type="dxa"/>
              <w:right w:w="15" w:type="dxa"/>
            </w:tcMar>
            <w:vAlign w:val="center"/>
          </w:tcPr>
          <w:p>
            <w:pPr>
              <w:pStyle w:val="23"/>
              <w:bidi w:val="0"/>
              <w:rPr>
                <w:color w:val="auto"/>
                <w:highlight w:val="none"/>
              </w:rPr>
            </w:pPr>
            <w:r>
              <w:rPr>
                <w:rFonts w:hint="default"/>
                <w:color w:val="auto"/>
                <w:highlight w:val="none"/>
                <w:lang w:val="en-US" w:eastAsia="zh-CN"/>
              </w:rPr>
              <w:t xml:space="preserve">0.100 </w:t>
            </w:r>
          </w:p>
        </w:tc>
        <w:tc>
          <w:tcPr>
            <w:tcW w:w="1902" w:type="dxa"/>
            <w:tcBorders>
              <w:tl2br w:val="nil"/>
              <w:tr2bl w:val="nil"/>
            </w:tcBorders>
            <w:shd w:val="clear" w:color="auto" w:fill="auto"/>
            <w:tcMar>
              <w:top w:w="15" w:type="dxa"/>
              <w:left w:w="15" w:type="dxa"/>
              <w:right w:w="15" w:type="dxa"/>
            </w:tcMar>
            <w:vAlign w:val="center"/>
          </w:tcPr>
          <w:p>
            <w:pPr>
              <w:pStyle w:val="23"/>
              <w:bidi w:val="0"/>
              <w:rPr>
                <w:color w:val="auto"/>
                <w:highlight w:val="none"/>
              </w:rPr>
            </w:pPr>
            <w:r>
              <w:rPr>
                <w:rFonts w:hint="default"/>
                <w:color w:val="auto"/>
                <w:highlight w:val="none"/>
                <w:lang w:val="en-US" w:eastAsia="zh-CN"/>
              </w:rPr>
              <w:t>99.80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419" w:type="pct"/>
            <w:tcBorders>
              <w:tl2br w:val="nil"/>
              <w:tr2bl w:val="nil"/>
            </w:tcBorders>
            <w:shd w:val="clear" w:color="auto" w:fill="auto"/>
            <w:noWrap/>
            <w:tcMar>
              <w:top w:w="15" w:type="dxa"/>
              <w:left w:w="15" w:type="dxa"/>
              <w:right w:w="15" w:type="dxa"/>
            </w:tcMar>
            <w:vAlign w:val="center"/>
          </w:tcPr>
          <w:p>
            <w:pPr>
              <w:pStyle w:val="23"/>
              <w:rPr>
                <w:color w:val="auto"/>
                <w:highlight w:val="none"/>
              </w:rPr>
            </w:pPr>
            <w:r>
              <w:rPr>
                <w:color w:val="auto"/>
                <w:highlight w:val="none"/>
              </w:rPr>
              <w:t>3</w:t>
            </w:r>
          </w:p>
        </w:tc>
        <w:tc>
          <w:tcPr>
            <w:tcW w:w="742" w:type="pct"/>
            <w:tcBorders>
              <w:tl2br w:val="nil"/>
              <w:tr2bl w:val="nil"/>
            </w:tcBorders>
            <w:shd w:val="clear" w:color="auto" w:fill="auto"/>
            <w:noWrap/>
            <w:tcMar>
              <w:top w:w="15" w:type="dxa"/>
              <w:left w:w="15" w:type="dxa"/>
              <w:right w:w="15" w:type="dxa"/>
            </w:tcMar>
            <w:vAlign w:val="center"/>
          </w:tcPr>
          <w:p>
            <w:pPr>
              <w:pStyle w:val="23"/>
              <w:rPr>
                <w:rFonts w:hint="eastAsia" w:eastAsia="仿宋"/>
                <w:color w:val="auto"/>
                <w:highlight w:val="none"/>
                <w:lang w:eastAsia="zh-CN"/>
              </w:rPr>
            </w:pPr>
            <w:r>
              <w:rPr>
                <w:rFonts w:hint="eastAsia"/>
                <w:color w:val="auto"/>
                <w:highlight w:val="none"/>
                <w:lang w:eastAsia="zh-CN"/>
              </w:rPr>
              <w:t>绿化防治区</w:t>
            </w:r>
          </w:p>
        </w:tc>
        <w:tc>
          <w:tcPr>
            <w:tcW w:w="1104" w:type="dxa"/>
            <w:tcBorders>
              <w:tl2br w:val="nil"/>
              <w:tr2bl w:val="nil"/>
            </w:tcBorders>
            <w:shd w:val="clear" w:color="auto" w:fill="auto"/>
            <w:tcMar>
              <w:top w:w="15" w:type="dxa"/>
              <w:left w:w="15" w:type="dxa"/>
              <w:right w:w="15" w:type="dxa"/>
            </w:tcMar>
            <w:vAlign w:val="center"/>
          </w:tcPr>
          <w:p>
            <w:pPr>
              <w:pStyle w:val="23"/>
              <w:bidi w:val="0"/>
              <w:rPr>
                <w:color w:val="auto"/>
                <w:highlight w:val="none"/>
              </w:rPr>
            </w:pPr>
            <w:r>
              <w:rPr>
                <w:rFonts w:hint="default"/>
                <w:color w:val="auto"/>
                <w:highlight w:val="none"/>
                <w:lang w:val="en-US" w:eastAsia="zh-CN"/>
              </w:rPr>
              <w:t>0.21</w:t>
            </w:r>
          </w:p>
        </w:tc>
        <w:tc>
          <w:tcPr>
            <w:tcW w:w="1745" w:type="dxa"/>
            <w:tcBorders>
              <w:tl2br w:val="nil"/>
              <w:tr2bl w:val="nil"/>
            </w:tcBorders>
            <w:shd w:val="clear" w:color="auto" w:fill="auto"/>
            <w:noWrap/>
            <w:tcMar>
              <w:top w:w="15" w:type="dxa"/>
              <w:left w:w="15" w:type="dxa"/>
              <w:right w:w="15" w:type="dxa"/>
            </w:tcMar>
            <w:vAlign w:val="top"/>
          </w:tcPr>
          <w:p>
            <w:pPr>
              <w:pStyle w:val="23"/>
              <w:bidi w:val="0"/>
              <w:rPr>
                <w:color w:val="auto"/>
                <w:highlight w:val="none"/>
              </w:rPr>
            </w:pPr>
            <w:r>
              <w:rPr>
                <w:rFonts w:hint="default"/>
                <w:color w:val="auto"/>
                <w:highlight w:val="none"/>
                <w:lang w:val="en-US" w:eastAsia="zh-CN"/>
              </w:rPr>
              <w:t xml:space="preserve">0.210 </w:t>
            </w:r>
          </w:p>
        </w:tc>
        <w:tc>
          <w:tcPr>
            <w:tcW w:w="1854" w:type="dxa"/>
            <w:tcBorders>
              <w:tl2br w:val="nil"/>
              <w:tr2bl w:val="nil"/>
            </w:tcBorders>
            <w:shd w:val="clear" w:color="auto" w:fill="auto"/>
            <w:noWrap/>
            <w:tcMar>
              <w:top w:w="15" w:type="dxa"/>
              <w:left w:w="15" w:type="dxa"/>
              <w:right w:w="15" w:type="dxa"/>
            </w:tcMar>
            <w:vAlign w:val="top"/>
          </w:tcPr>
          <w:p>
            <w:pPr>
              <w:pStyle w:val="23"/>
              <w:bidi w:val="0"/>
              <w:rPr>
                <w:color w:val="auto"/>
                <w:highlight w:val="none"/>
              </w:rPr>
            </w:pPr>
            <w:r>
              <w:rPr>
                <w:rFonts w:hint="default"/>
                <w:color w:val="auto"/>
                <w:highlight w:val="none"/>
                <w:lang w:val="en-US" w:eastAsia="zh-CN"/>
              </w:rPr>
              <w:t xml:space="preserve">0.209 </w:t>
            </w:r>
          </w:p>
        </w:tc>
        <w:tc>
          <w:tcPr>
            <w:tcW w:w="1902" w:type="dxa"/>
            <w:tcBorders>
              <w:tl2br w:val="nil"/>
              <w:tr2bl w:val="nil"/>
            </w:tcBorders>
            <w:shd w:val="clear" w:color="auto" w:fill="auto"/>
            <w:tcMar>
              <w:top w:w="15" w:type="dxa"/>
              <w:left w:w="15" w:type="dxa"/>
              <w:right w:w="15" w:type="dxa"/>
            </w:tcMar>
            <w:vAlign w:val="center"/>
          </w:tcPr>
          <w:p>
            <w:pPr>
              <w:pStyle w:val="23"/>
              <w:bidi w:val="0"/>
              <w:rPr>
                <w:color w:val="auto"/>
                <w:highlight w:val="none"/>
              </w:rPr>
            </w:pPr>
            <w:r>
              <w:rPr>
                <w:rFonts w:hint="default"/>
                <w:color w:val="auto"/>
                <w:highlight w:val="none"/>
                <w:lang w:val="en-US" w:eastAsia="zh-CN"/>
              </w:rPr>
              <w:t>99.52</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1161" w:type="pct"/>
            <w:gridSpan w:val="2"/>
            <w:tcBorders>
              <w:tl2br w:val="nil"/>
              <w:tr2bl w:val="nil"/>
            </w:tcBorders>
            <w:shd w:val="clear" w:color="auto" w:fill="auto"/>
            <w:noWrap/>
            <w:tcMar>
              <w:top w:w="15" w:type="dxa"/>
              <w:left w:w="15" w:type="dxa"/>
              <w:right w:w="15" w:type="dxa"/>
            </w:tcMar>
            <w:vAlign w:val="center"/>
          </w:tcPr>
          <w:p>
            <w:pPr>
              <w:pStyle w:val="23"/>
              <w:rPr>
                <w:color w:val="auto"/>
                <w:highlight w:val="none"/>
              </w:rPr>
            </w:pPr>
            <w:r>
              <w:rPr>
                <w:color w:val="auto"/>
                <w:highlight w:val="none"/>
              </w:rPr>
              <w:t>小计</w:t>
            </w:r>
          </w:p>
        </w:tc>
        <w:tc>
          <w:tcPr>
            <w:tcW w:w="1104" w:type="dxa"/>
            <w:tcBorders>
              <w:tl2br w:val="nil"/>
              <w:tr2bl w:val="nil"/>
            </w:tcBorders>
            <w:shd w:val="clear" w:color="auto" w:fill="auto"/>
            <w:tcMar>
              <w:top w:w="15" w:type="dxa"/>
              <w:left w:w="15" w:type="dxa"/>
              <w:right w:w="15" w:type="dxa"/>
            </w:tcMar>
            <w:vAlign w:val="center"/>
          </w:tcPr>
          <w:p>
            <w:pPr>
              <w:pStyle w:val="23"/>
              <w:bidi w:val="0"/>
              <w:rPr>
                <w:rFonts w:hint="eastAsia"/>
                <w:color w:val="auto"/>
                <w:highlight w:val="none"/>
                <w:lang w:eastAsia="zh-CN"/>
              </w:rPr>
            </w:pPr>
            <w:r>
              <w:rPr>
                <w:rFonts w:hint="default"/>
                <w:color w:val="auto"/>
                <w:highlight w:val="none"/>
                <w:lang w:val="en-US" w:eastAsia="zh-CN"/>
              </w:rPr>
              <w:t>4.45</w:t>
            </w:r>
          </w:p>
        </w:tc>
        <w:tc>
          <w:tcPr>
            <w:tcW w:w="1745" w:type="dxa"/>
            <w:tcBorders>
              <w:tl2br w:val="nil"/>
              <w:tr2bl w:val="nil"/>
            </w:tcBorders>
            <w:shd w:val="clear" w:color="auto" w:fill="auto"/>
            <w:tcMar>
              <w:top w:w="15" w:type="dxa"/>
              <w:left w:w="15" w:type="dxa"/>
              <w:right w:w="15" w:type="dxa"/>
            </w:tcMar>
            <w:vAlign w:val="center"/>
          </w:tcPr>
          <w:p>
            <w:pPr>
              <w:pStyle w:val="23"/>
              <w:bidi w:val="0"/>
              <w:rPr>
                <w:color w:val="auto"/>
                <w:highlight w:val="none"/>
              </w:rPr>
            </w:pPr>
            <w:r>
              <w:rPr>
                <w:rFonts w:hint="default"/>
                <w:color w:val="auto"/>
                <w:highlight w:val="none"/>
                <w:lang w:val="en-US" w:eastAsia="zh-CN"/>
              </w:rPr>
              <w:t xml:space="preserve">0.310 </w:t>
            </w:r>
          </w:p>
        </w:tc>
        <w:tc>
          <w:tcPr>
            <w:tcW w:w="1854" w:type="dxa"/>
            <w:tcBorders>
              <w:tl2br w:val="nil"/>
              <w:tr2bl w:val="nil"/>
            </w:tcBorders>
            <w:shd w:val="clear" w:color="auto" w:fill="auto"/>
            <w:tcMar>
              <w:top w:w="15" w:type="dxa"/>
              <w:left w:w="15" w:type="dxa"/>
              <w:right w:w="15" w:type="dxa"/>
            </w:tcMar>
            <w:vAlign w:val="center"/>
          </w:tcPr>
          <w:p>
            <w:pPr>
              <w:pStyle w:val="23"/>
              <w:bidi w:val="0"/>
              <w:rPr>
                <w:color w:val="auto"/>
                <w:highlight w:val="none"/>
              </w:rPr>
            </w:pPr>
            <w:r>
              <w:rPr>
                <w:rFonts w:hint="default"/>
                <w:color w:val="auto"/>
                <w:highlight w:val="none"/>
                <w:lang w:val="en-US" w:eastAsia="zh-CN"/>
              </w:rPr>
              <w:t xml:space="preserve">0.309 </w:t>
            </w:r>
          </w:p>
        </w:tc>
        <w:tc>
          <w:tcPr>
            <w:tcW w:w="1902" w:type="dxa"/>
            <w:tcBorders>
              <w:tl2br w:val="nil"/>
              <w:tr2bl w:val="nil"/>
            </w:tcBorders>
            <w:shd w:val="clear" w:color="auto" w:fill="auto"/>
            <w:tcMar>
              <w:top w:w="15" w:type="dxa"/>
              <w:left w:w="15" w:type="dxa"/>
              <w:right w:w="15" w:type="dxa"/>
            </w:tcMar>
            <w:vAlign w:val="center"/>
          </w:tcPr>
          <w:p>
            <w:pPr>
              <w:pStyle w:val="23"/>
              <w:bidi w:val="0"/>
              <w:rPr>
                <w:color w:val="auto"/>
                <w:highlight w:val="none"/>
              </w:rPr>
            </w:pPr>
            <w:r>
              <w:rPr>
                <w:rFonts w:hint="default"/>
                <w:color w:val="auto"/>
                <w:highlight w:val="none"/>
                <w:lang w:val="en-US" w:eastAsia="zh-CN"/>
              </w:rPr>
              <w:t>99.61</w:t>
            </w:r>
          </w:p>
        </w:tc>
      </w:tr>
    </w:tbl>
    <w:p>
      <w:pPr>
        <w:pStyle w:val="3"/>
        <w:rPr>
          <w:rFonts w:ascii="Times New Roman" w:hAnsi="Times New Roman" w:cs="Times New Roman"/>
        </w:rPr>
      </w:pPr>
      <w:r>
        <w:rPr>
          <w:rFonts w:ascii="Times New Roman" w:hAnsi="Times New Roman" w:cs="Times New Roman"/>
        </w:rPr>
        <w:t>林草覆盖率</w:t>
      </w:r>
      <w:bookmarkEnd w:id="100"/>
    </w:p>
    <w:p>
      <w:pPr>
        <w:ind w:firstLine="480"/>
        <w:rPr>
          <w:rFonts w:cs="Times New Roman"/>
          <w:snapToGrid w:val="0"/>
        </w:rPr>
      </w:pPr>
      <w:r>
        <w:rPr>
          <w:rFonts w:cs="Times New Roman"/>
          <w:snapToGrid w:val="0"/>
        </w:rPr>
        <w:t>根</w:t>
      </w:r>
      <w:r>
        <w:rPr>
          <w:rFonts w:cs="Times New Roman"/>
        </w:rPr>
        <w:t>据主体监理资料、</w:t>
      </w:r>
      <w:r>
        <w:rPr>
          <w:rFonts w:hint="eastAsia" w:cs="Times New Roman"/>
        </w:rPr>
        <w:t>监测资料、</w:t>
      </w:r>
      <w:r>
        <w:rPr>
          <w:rFonts w:cs="Times New Roman"/>
        </w:rPr>
        <w:t>竣工资料及结合现场调查，项目建设区面积</w:t>
      </w:r>
      <w:r>
        <w:rPr>
          <w:rFonts w:hint="eastAsia" w:cs="Times New Roman"/>
        </w:rPr>
        <w:t>7.67</w:t>
      </w:r>
      <w:r>
        <w:rPr>
          <w:rFonts w:cs="Times New Roman"/>
        </w:rPr>
        <w:t>hm</w:t>
      </w:r>
      <w:r>
        <w:rPr>
          <w:rFonts w:hint="eastAsia" w:cs="Times New Roman"/>
          <w:vertAlign w:val="superscript"/>
        </w:rPr>
        <w:t>2</w:t>
      </w:r>
      <w:r>
        <w:rPr>
          <w:rFonts w:cs="Times New Roman"/>
        </w:rPr>
        <w:t>。至</w:t>
      </w:r>
      <w:r>
        <w:rPr>
          <w:rFonts w:hint="eastAsia" w:cs="Times New Roman"/>
        </w:rPr>
        <w:t>植物措施施工</w:t>
      </w:r>
      <w:r>
        <w:rPr>
          <w:rFonts w:cs="Times New Roman"/>
        </w:rPr>
        <w:t>结束时，植被恢复面积为</w:t>
      </w:r>
      <w:r>
        <w:rPr>
          <w:rFonts w:hint="eastAsia" w:cs="Times New Roman"/>
          <w:lang w:eastAsia="zh-CN"/>
        </w:rPr>
        <w:t>0.309</w:t>
      </w:r>
      <w:r>
        <w:rPr>
          <w:rFonts w:hint="eastAsia" w:cs="Times New Roman"/>
        </w:rPr>
        <w:t xml:space="preserve"> </w:t>
      </w:r>
      <w:r>
        <w:rPr>
          <w:rFonts w:cs="Times New Roman"/>
        </w:rPr>
        <w:t>hm</w:t>
      </w:r>
      <w:r>
        <w:rPr>
          <w:rFonts w:cs="Times New Roman"/>
          <w:vertAlign w:val="superscript"/>
        </w:rPr>
        <w:t>2</w:t>
      </w:r>
      <w:r>
        <w:rPr>
          <w:rFonts w:cs="Times New Roman"/>
        </w:rPr>
        <w:t>，林草植被覆盖率为</w:t>
      </w:r>
      <w:r>
        <w:rPr>
          <w:rFonts w:hint="eastAsia" w:cs="Times New Roman"/>
          <w:lang w:eastAsia="zh-CN"/>
        </w:rPr>
        <w:t>7.0</w:t>
      </w:r>
      <w:r>
        <w:rPr>
          <w:rFonts w:cs="Times New Roman"/>
        </w:rPr>
        <w:t>%，达到方案确定的达到了方案设计目标值</w:t>
      </w:r>
      <w:r>
        <w:rPr>
          <w:rFonts w:hint="eastAsia" w:cs="Times New Roman"/>
        </w:rPr>
        <w:t>27</w:t>
      </w:r>
      <w:r>
        <w:rPr>
          <w:rFonts w:cs="Times New Roman"/>
        </w:rPr>
        <w:t>%</w:t>
      </w:r>
      <w:r>
        <w:rPr>
          <w:rFonts w:cs="Times New Roman"/>
          <w:snapToGrid w:val="0"/>
        </w:rPr>
        <w:t>。</w:t>
      </w:r>
    </w:p>
    <w:p>
      <w:pPr>
        <w:pStyle w:val="24"/>
        <w:rPr>
          <w:rFonts w:cs="Times New Roman"/>
        </w:rPr>
      </w:pPr>
      <w:r>
        <w:rPr>
          <w:rFonts w:cs="Times New Roman"/>
        </w:rPr>
        <w:t>表</w:t>
      </w:r>
      <w:r>
        <w:rPr>
          <w:rFonts w:hint="eastAsia" w:cs="Times New Roman"/>
        </w:rPr>
        <w:t>6.6-1</w:t>
      </w:r>
      <w:r>
        <w:rPr>
          <w:rFonts w:cs="Times New Roman"/>
        </w:rPr>
        <w:t xml:space="preserve"> 各分区林草覆盖率一览表（单位：hm</w:t>
      </w:r>
      <w:r>
        <w:rPr>
          <w:rFonts w:cs="Times New Roman"/>
          <w:vertAlign w:val="superscript"/>
        </w:rPr>
        <w:t>2</w:t>
      </w:r>
      <w:r>
        <w:rPr>
          <w:rFonts w:cs="Times New Roman"/>
        </w:rPr>
        <w:t>）</w:t>
      </w:r>
    </w:p>
    <w:tbl>
      <w:tblPr>
        <w:tblStyle w:val="13"/>
        <w:tblW w:w="4997"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1818"/>
        <w:gridCol w:w="1819"/>
        <w:gridCol w:w="1639"/>
        <w:gridCol w:w="2000"/>
        <w:gridCol w:w="1819"/>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999" w:type="pct"/>
            <w:tcBorders>
              <w:tl2br w:val="nil"/>
              <w:tr2bl w:val="nil"/>
            </w:tcBorders>
            <w:shd w:val="clear" w:color="auto" w:fill="auto"/>
            <w:tcMar>
              <w:top w:w="15" w:type="dxa"/>
              <w:left w:w="15" w:type="dxa"/>
              <w:right w:w="15" w:type="dxa"/>
            </w:tcMar>
            <w:vAlign w:val="center"/>
          </w:tcPr>
          <w:p>
            <w:pPr>
              <w:pStyle w:val="23"/>
            </w:pPr>
            <w:r>
              <w:t>序号</w:t>
            </w:r>
          </w:p>
        </w:tc>
        <w:tc>
          <w:tcPr>
            <w:tcW w:w="999" w:type="pct"/>
            <w:tcBorders>
              <w:tl2br w:val="nil"/>
              <w:tr2bl w:val="nil"/>
            </w:tcBorders>
            <w:shd w:val="clear" w:color="auto" w:fill="auto"/>
            <w:tcMar>
              <w:top w:w="15" w:type="dxa"/>
              <w:left w:w="15" w:type="dxa"/>
              <w:right w:w="15" w:type="dxa"/>
            </w:tcMar>
            <w:vAlign w:val="center"/>
          </w:tcPr>
          <w:p>
            <w:pPr>
              <w:pStyle w:val="23"/>
            </w:pPr>
            <w:r>
              <w:t>防治分区</w:t>
            </w:r>
          </w:p>
        </w:tc>
        <w:tc>
          <w:tcPr>
            <w:tcW w:w="901" w:type="pct"/>
            <w:tcBorders>
              <w:tl2br w:val="nil"/>
              <w:tr2bl w:val="nil"/>
            </w:tcBorders>
            <w:shd w:val="clear" w:color="auto" w:fill="auto"/>
            <w:tcMar>
              <w:top w:w="15" w:type="dxa"/>
              <w:left w:w="15" w:type="dxa"/>
              <w:right w:w="15" w:type="dxa"/>
            </w:tcMar>
            <w:vAlign w:val="center"/>
          </w:tcPr>
          <w:p>
            <w:pPr>
              <w:pStyle w:val="23"/>
            </w:pPr>
            <w:r>
              <w:t>项目建设区</w:t>
            </w:r>
          </w:p>
        </w:tc>
        <w:tc>
          <w:tcPr>
            <w:tcW w:w="1099" w:type="pct"/>
            <w:tcBorders>
              <w:tl2br w:val="nil"/>
              <w:tr2bl w:val="nil"/>
            </w:tcBorders>
            <w:shd w:val="clear" w:color="auto" w:fill="auto"/>
            <w:tcMar>
              <w:top w:w="15" w:type="dxa"/>
              <w:left w:w="15" w:type="dxa"/>
              <w:right w:w="15" w:type="dxa"/>
            </w:tcMar>
            <w:vAlign w:val="center"/>
          </w:tcPr>
          <w:p>
            <w:pPr>
              <w:pStyle w:val="23"/>
            </w:pPr>
            <w:r>
              <w:rPr>
                <w:rFonts w:hint="eastAsia"/>
              </w:rPr>
              <w:t>已绿化或自然恢复面积</w:t>
            </w:r>
          </w:p>
        </w:tc>
        <w:tc>
          <w:tcPr>
            <w:tcW w:w="1000" w:type="pct"/>
            <w:tcBorders>
              <w:tl2br w:val="nil"/>
              <w:tr2bl w:val="nil"/>
            </w:tcBorders>
            <w:shd w:val="clear" w:color="auto" w:fill="auto"/>
            <w:tcMar>
              <w:top w:w="15" w:type="dxa"/>
              <w:left w:w="15" w:type="dxa"/>
              <w:right w:w="15" w:type="dxa"/>
            </w:tcMar>
            <w:vAlign w:val="center"/>
          </w:tcPr>
          <w:p>
            <w:pPr>
              <w:pStyle w:val="23"/>
            </w:pPr>
            <w:r>
              <w:t>植被覆盖度(%)</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999" w:type="pct"/>
            <w:tcBorders>
              <w:tl2br w:val="nil"/>
              <w:tr2bl w:val="nil"/>
            </w:tcBorders>
            <w:shd w:val="clear" w:color="auto" w:fill="auto"/>
            <w:noWrap/>
            <w:tcMar>
              <w:top w:w="15" w:type="dxa"/>
              <w:left w:w="15" w:type="dxa"/>
              <w:right w:w="15" w:type="dxa"/>
            </w:tcMar>
            <w:vAlign w:val="center"/>
          </w:tcPr>
          <w:p>
            <w:pPr>
              <w:pStyle w:val="23"/>
            </w:pPr>
            <w:r>
              <w:t>1</w:t>
            </w:r>
          </w:p>
        </w:tc>
        <w:tc>
          <w:tcPr>
            <w:tcW w:w="999" w:type="pct"/>
            <w:tcBorders>
              <w:tl2br w:val="nil"/>
              <w:tr2bl w:val="nil"/>
            </w:tcBorders>
            <w:shd w:val="clear" w:color="auto" w:fill="auto"/>
            <w:noWrap/>
            <w:tcMar>
              <w:top w:w="15" w:type="dxa"/>
              <w:left w:w="15" w:type="dxa"/>
              <w:right w:w="15" w:type="dxa"/>
            </w:tcMar>
            <w:vAlign w:val="center"/>
          </w:tcPr>
          <w:p>
            <w:pPr>
              <w:pStyle w:val="23"/>
            </w:pPr>
            <w:r>
              <w:t>主体工程区</w:t>
            </w:r>
          </w:p>
        </w:tc>
        <w:tc>
          <w:tcPr>
            <w:tcW w:w="901" w:type="pct"/>
            <w:tcBorders>
              <w:tl2br w:val="nil"/>
              <w:tr2bl w:val="nil"/>
            </w:tcBorders>
            <w:shd w:val="clear" w:color="auto" w:fill="auto"/>
            <w:noWrap/>
            <w:tcMar>
              <w:top w:w="15" w:type="dxa"/>
              <w:left w:w="15" w:type="dxa"/>
              <w:right w:w="15" w:type="dxa"/>
            </w:tcMar>
            <w:vAlign w:val="center"/>
          </w:tcPr>
          <w:p>
            <w:pPr>
              <w:pStyle w:val="23"/>
              <w:rPr>
                <w:rFonts w:hint="eastAsia" w:eastAsia="仿宋"/>
                <w:lang w:eastAsia="zh-CN"/>
              </w:rPr>
            </w:pPr>
            <w:r>
              <w:rPr>
                <w:rFonts w:hint="eastAsia"/>
                <w:lang w:eastAsia="zh-CN"/>
              </w:rPr>
              <w:t>4.45</w:t>
            </w:r>
          </w:p>
        </w:tc>
        <w:tc>
          <w:tcPr>
            <w:tcW w:w="1099" w:type="pct"/>
            <w:tcBorders>
              <w:tl2br w:val="nil"/>
              <w:tr2bl w:val="nil"/>
            </w:tcBorders>
            <w:shd w:val="clear" w:color="auto" w:fill="auto"/>
            <w:tcMar>
              <w:top w:w="15" w:type="dxa"/>
              <w:left w:w="15" w:type="dxa"/>
              <w:right w:w="15" w:type="dxa"/>
            </w:tcMar>
            <w:vAlign w:val="center"/>
          </w:tcPr>
          <w:p>
            <w:pPr>
              <w:pStyle w:val="23"/>
            </w:pPr>
            <w:r>
              <w:t>7.57</w:t>
            </w:r>
          </w:p>
        </w:tc>
        <w:tc>
          <w:tcPr>
            <w:tcW w:w="1000" w:type="pct"/>
            <w:tcBorders>
              <w:tl2br w:val="nil"/>
              <w:tr2bl w:val="nil"/>
            </w:tcBorders>
            <w:shd w:val="clear" w:color="auto" w:fill="auto"/>
            <w:tcMar>
              <w:top w:w="15" w:type="dxa"/>
              <w:left w:w="15" w:type="dxa"/>
              <w:right w:w="15" w:type="dxa"/>
            </w:tcMar>
            <w:vAlign w:val="center"/>
          </w:tcPr>
          <w:p>
            <w:pPr>
              <w:pStyle w:val="23"/>
            </w:pPr>
            <w:r>
              <w:t xml:space="preserve">38.29 </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999" w:type="pct"/>
            <w:tcBorders>
              <w:tl2br w:val="nil"/>
              <w:tr2bl w:val="nil"/>
            </w:tcBorders>
            <w:shd w:val="clear" w:color="auto" w:fill="auto"/>
            <w:noWrap/>
            <w:tcMar>
              <w:top w:w="15" w:type="dxa"/>
              <w:left w:w="15" w:type="dxa"/>
              <w:right w:w="15" w:type="dxa"/>
            </w:tcMar>
            <w:vAlign w:val="center"/>
          </w:tcPr>
          <w:p>
            <w:pPr>
              <w:pStyle w:val="23"/>
            </w:pPr>
            <w:r>
              <w:t>2</w:t>
            </w:r>
          </w:p>
        </w:tc>
        <w:tc>
          <w:tcPr>
            <w:tcW w:w="999" w:type="pct"/>
            <w:tcBorders>
              <w:tl2br w:val="nil"/>
              <w:tr2bl w:val="nil"/>
            </w:tcBorders>
            <w:shd w:val="clear" w:color="auto" w:fill="auto"/>
            <w:noWrap/>
            <w:tcMar>
              <w:top w:w="15" w:type="dxa"/>
              <w:left w:w="15" w:type="dxa"/>
              <w:right w:w="15" w:type="dxa"/>
            </w:tcMar>
            <w:vAlign w:val="center"/>
          </w:tcPr>
          <w:p>
            <w:pPr>
              <w:pStyle w:val="23"/>
            </w:pPr>
            <w:r>
              <w:t>施工场地区</w:t>
            </w:r>
          </w:p>
        </w:tc>
        <w:tc>
          <w:tcPr>
            <w:tcW w:w="901" w:type="pct"/>
            <w:tcBorders>
              <w:tl2br w:val="nil"/>
              <w:tr2bl w:val="nil"/>
            </w:tcBorders>
            <w:shd w:val="clear" w:color="auto" w:fill="auto"/>
            <w:noWrap/>
            <w:tcMar>
              <w:top w:w="15" w:type="dxa"/>
              <w:left w:w="15" w:type="dxa"/>
              <w:right w:w="15" w:type="dxa"/>
            </w:tcMar>
            <w:vAlign w:val="center"/>
          </w:tcPr>
          <w:p>
            <w:pPr>
              <w:pStyle w:val="23"/>
            </w:pPr>
            <w:r>
              <w:t>2.27</w:t>
            </w:r>
          </w:p>
        </w:tc>
        <w:tc>
          <w:tcPr>
            <w:tcW w:w="1099" w:type="pct"/>
            <w:tcBorders>
              <w:tl2br w:val="nil"/>
              <w:tr2bl w:val="nil"/>
            </w:tcBorders>
            <w:shd w:val="clear" w:color="auto" w:fill="auto"/>
            <w:tcMar>
              <w:top w:w="15" w:type="dxa"/>
              <w:left w:w="15" w:type="dxa"/>
              <w:right w:w="15" w:type="dxa"/>
            </w:tcMar>
            <w:vAlign w:val="center"/>
          </w:tcPr>
          <w:p>
            <w:pPr>
              <w:pStyle w:val="23"/>
            </w:pPr>
            <w:r>
              <w:t>0</w:t>
            </w:r>
          </w:p>
        </w:tc>
        <w:tc>
          <w:tcPr>
            <w:tcW w:w="1000" w:type="pct"/>
            <w:tcBorders>
              <w:tl2br w:val="nil"/>
              <w:tr2bl w:val="nil"/>
            </w:tcBorders>
            <w:shd w:val="clear" w:color="auto" w:fill="auto"/>
            <w:tcMar>
              <w:top w:w="15" w:type="dxa"/>
              <w:left w:w="15" w:type="dxa"/>
              <w:right w:w="15" w:type="dxa"/>
            </w:tcMar>
            <w:vAlign w:val="center"/>
          </w:tcPr>
          <w:p>
            <w:pPr>
              <w:pStyle w:val="23"/>
            </w:pPr>
            <w:r>
              <w:t xml:space="preserve">0.00 </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999" w:type="pct"/>
            <w:tcBorders>
              <w:tl2br w:val="nil"/>
              <w:tr2bl w:val="nil"/>
            </w:tcBorders>
            <w:shd w:val="clear" w:color="auto" w:fill="auto"/>
            <w:noWrap/>
            <w:tcMar>
              <w:top w:w="15" w:type="dxa"/>
              <w:left w:w="15" w:type="dxa"/>
              <w:right w:w="15" w:type="dxa"/>
            </w:tcMar>
            <w:vAlign w:val="center"/>
          </w:tcPr>
          <w:p>
            <w:pPr>
              <w:pStyle w:val="23"/>
            </w:pPr>
            <w:r>
              <w:t>3</w:t>
            </w:r>
          </w:p>
        </w:tc>
        <w:tc>
          <w:tcPr>
            <w:tcW w:w="999" w:type="pct"/>
            <w:tcBorders>
              <w:tl2br w:val="nil"/>
              <w:tr2bl w:val="nil"/>
            </w:tcBorders>
            <w:shd w:val="clear" w:color="auto" w:fill="auto"/>
            <w:noWrap/>
            <w:tcMar>
              <w:top w:w="15" w:type="dxa"/>
              <w:left w:w="15" w:type="dxa"/>
              <w:right w:w="15" w:type="dxa"/>
            </w:tcMar>
            <w:vAlign w:val="center"/>
          </w:tcPr>
          <w:p>
            <w:pPr>
              <w:pStyle w:val="23"/>
              <w:rPr>
                <w:rFonts w:hint="eastAsia" w:eastAsia="仿宋"/>
                <w:lang w:eastAsia="zh-CN"/>
              </w:rPr>
            </w:pPr>
            <w:r>
              <w:rPr>
                <w:rFonts w:hint="eastAsia"/>
                <w:lang w:eastAsia="zh-CN"/>
              </w:rPr>
              <w:t>绿化防治区</w:t>
            </w:r>
          </w:p>
        </w:tc>
        <w:tc>
          <w:tcPr>
            <w:tcW w:w="901" w:type="pct"/>
            <w:tcBorders>
              <w:tl2br w:val="nil"/>
              <w:tr2bl w:val="nil"/>
            </w:tcBorders>
            <w:shd w:val="clear" w:color="auto" w:fill="auto"/>
            <w:noWrap/>
            <w:tcMar>
              <w:top w:w="15" w:type="dxa"/>
              <w:left w:w="15" w:type="dxa"/>
              <w:right w:w="15" w:type="dxa"/>
            </w:tcMar>
            <w:vAlign w:val="center"/>
          </w:tcPr>
          <w:p>
            <w:pPr>
              <w:pStyle w:val="23"/>
            </w:pPr>
            <w:r>
              <w:t>4.8</w:t>
            </w:r>
          </w:p>
        </w:tc>
        <w:tc>
          <w:tcPr>
            <w:tcW w:w="1099" w:type="pct"/>
            <w:tcBorders>
              <w:tl2br w:val="nil"/>
              <w:tr2bl w:val="nil"/>
            </w:tcBorders>
            <w:shd w:val="clear" w:color="auto" w:fill="auto"/>
            <w:tcMar>
              <w:top w:w="15" w:type="dxa"/>
              <w:left w:w="15" w:type="dxa"/>
              <w:right w:w="15" w:type="dxa"/>
            </w:tcMar>
            <w:vAlign w:val="center"/>
          </w:tcPr>
          <w:p>
            <w:pPr>
              <w:pStyle w:val="23"/>
            </w:pPr>
            <w:r>
              <w:t xml:space="preserve">1.177 </w:t>
            </w:r>
          </w:p>
        </w:tc>
        <w:tc>
          <w:tcPr>
            <w:tcW w:w="1000" w:type="pct"/>
            <w:tcBorders>
              <w:tl2br w:val="nil"/>
              <w:tr2bl w:val="nil"/>
            </w:tcBorders>
            <w:shd w:val="clear" w:color="auto" w:fill="auto"/>
            <w:tcMar>
              <w:top w:w="15" w:type="dxa"/>
              <w:left w:w="15" w:type="dxa"/>
              <w:right w:w="15" w:type="dxa"/>
            </w:tcMar>
            <w:vAlign w:val="center"/>
          </w:tcPr>
          <w:p>
            <w:pPr>
              <w:pStyle w:val="23"/>
            </w:pPr>
            <w:r>
              <w:t xml:space="preserve">24.53 </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1999" w:type="pct"/>
            <w:gridSpan w:val="2"/>
            <w:tcBorders>
              <w:tl2br w:val="nil"/>
              <w:tr2bl w:val="nil"/>
            </w:tcBorders>
            <w:shd w:val="clear" w:color="auto" w:fill="auto"/>
            <w:noWrap/>
            <w:tcMar>
              <w:top w:w="15" w:type="dxa"/>
              <w:left w:w="15" w:type="dxa"/>
              <w:right w:w="15" w:type="dxa"/>
            </w:tcMar>
            <w:vAlign w:val="center"/>
          </w:tcPr>
          <w:p>
            <w:pPr>
              <w:pStyle w:val="23"/>
            </w:pPr>
            <w:r>
              <w:t>小计</w:t>
            </w:r>
          </w:p>
        </w:tc>
        <w:tc>
          <w:tcPr>
            <w:tcW w:w="901" w:type="pct"/>
            <w:tcBorders>
              <w:tl2br w:val="nil"/>
              <w:tr2bl w:val="nil"/>
            </w:tcBorders>
            <w:shd w:val="clear" w:color="auto" w:fill="auto"/>
            <w:noWrap/>
            <w:tcMar>
              <w:top w:w="15" w:type="dxa"/>
              <w:left w:w="15" w:type="dxa"/>
              <w:right w:w="15" w:type="dxa"/>
            </w:tcMar>
            <w:vAlign w:val="center"/>
          </w:tcPr>
          <w:p>
            <w:pPr>
              <w:pStyle w:val="23"/>
              <w:rPr>
                <w:rFonts w:hint="eastAsia" w:eastAsia="仿宋"/>
                <w:lang w:eastAsia="zh-CN"/>
              </w:rPr>
            </w:pPr>
            <w:r>
              <w:rPr>
                <w:rFonts w:hint="eastAsia"/>
                <w:lang w:eastAsia="zh-CN"/>
              </w:rPr>
              <w:t>4.45</w:t>
            </w:r>
          </w:p>
        </w:tc>
        <w:tc>
          <w:tcPr>
            <w:tcW w:w="1099" w:type="pct"/>
            <w:tcBorders>
              <w:tl2br w:val="nil"/>
              <w:tr2bl w:val="nil"/>
            </w:tcBorders>
            <w:shd w:val="clear" w:color="auto" w:fill="auto"/>
            <w:tcMar>
              <w:top w:w="15" w:type="dxa"/>
              <w:left w:w="15" w:type="dxa"/>
              <w:right w:w="15" w:type="dxa"/>
            </w:tcMar>
            <w:vAlign w:val="center"/>
          </w:tcPr>
          <w:p>
            <w:pPr>
              <w:pStyle w:val="23"/>
            </w:pPr>
            <w:r>
              <w:rPr>
                <w:rFonts w:hint="eastAsia"/>
                <w:lang w:eastAsia="zh-CN"/>
              </w:rPr>
              <w:t>0.309</w:t>
            </w:r>
            <w:r>
              <w:t xml:space="preserve"> </w:t>
            </w:r>
          </w:p>
        </w:tc>
        <w:tc>
          <w:tcPr>
            <w:tcW w:w="1000" w:type="pct"/>
            <w:tcBorders>
              <w:tl2br w:val="nil"/>
              <w:tr2bl w:val="nil"/>
            </w:tcBorders>
            <w:shd w:val="clear" w:color="auto" w:fill="auto"/>
            <w:tcMar>
              <w:top w:w="15" w:type="dxa"/>
              <w:left w:w="15" w:type="dxa"/>
              <w:right w:w="15" w:type="dxa"/>
            </w:tcMar>
            <w:vAlign w:val="center"/>
          </w:tcPr>
          <w:p>
            <w:pPr>
              <w:pStyle w:val="23"/>
            </w:pPr>
            <w:r>
              <w:rPr>
                <w:rFonts w:hint="eastAsia"/>
                <w:lang w:eastAsia="zh-CN"/>
              </w:rPr>
              <w:t>7.0</w:t>
            </w:r>
            <w:r>
              <w:t xml:space="preserve"> </w:t>
            </w:r>
          </w:p>
        </w:tc>
      </w:tr>
    </w:tbl>
    <w:p>
      <w:pPr>
        <w:ind w:firstLine="480"/>
        <w:rPr>
          <w:rFonts w:cs="Times New Roman"/>
        </w:rPr>
      </w:pPr>
      <w:r>
        <w:rPr>
          <w:rFonts w:cs="Times New Roman"/>
        </w:rPr>
        <w:t>六项指标均达到了《水保方案》中提出的水土保持防治目标，水土保持防治效果较好。</w:t>
      </w:r>
    </w:p>
    <w:p>
      <w:pPr>
        <w:widowControl/>
        <w:spacing w:line="240" w:lineRule="auto"/>
        <w:ind w:firstLine="0" w:firstLineChars="0"/>
        <w:jc w:val="left"/>
        <w:rPr>
          <w:rFonts w:eastAsia="黑体" w:cs="Times New Roman"/>
          <w:sz w:val="21"/>
        </w:rPr>
      </w:pPr>
      <w:r>
        <w:rPr>
          <w:rFonts w:cs="Times New Roman"/>
        </w:rPr>
        <w:br w:type="page"/>
      </w:r>
    </w:p>
    <w:p>
      <w:pPr>
        <w:pStyle w:val="2"/>
        <w:rPr>
          <w:rFonts w:cs="Times New Roman"/>
        </w:rPr>
      </w:pPr>
      <w:bookmarkStart w:id="101" w:name="_Toc2534383"/>
      <w:bookmarkStart w:id="102" w:name="_Toc531772008"/>
      <w:bookmarkStart w:id="103" w:name="_Toc454872242"/>
      <w:bookmarkStart w:id="104" w:name="_Toc16782"/>
      <w:bookmarkStart w:id="105" w:name="_Toc5825927"/>
      <w:bookmarkStart w:id="106" w:name="_Toc535141835"/>
      <w:r>
        <w:rPr>
          <w:rFonts w:cs="Times New Roman"/>
        </w:rPr>
        <w:t>结论</w:t>
      </w:r>
      <w:bookmarkEnd w:id="101"/>
      <w:bookmarkEnd w:id="102"/>
      <w:bookmarkEnd w:id="103"/>
      <w:bookmarkEnd w:id="104"/>
      <w:bookmarkEnd w:id="105"/>
      <w:bookmarkEnd w:id="106"/>
    </w:p>
    <w:p>
      <w:pPr>
        <w:pStyle w:val="3"/>
        <w:rPr>
          <w:rFonts w:ascii="Times New Roman" w:hAnsi="Times New Roman" w:cs="Times New Roman"/>
        </w:rPr>
      </w:pPr>
      <w:bookmarkStart w:id="107" w:name="_Toc6983"/>
      <w:bookmarkStart w:id="108" w:name="_Toc531772009"/>
      <w:bookmarkStart w:id="109" w:name="_Toc454872243"/>
      <w:bookmarkStart w:id="110" w:name="_Toc2534384"/>
      <w:bookmarkStart w:id="111" w:name="_Toc440958537"/>
      <w:bookmarkStart w:id="112" w:name="_Toc535141836"/>
      <w:bookmarkStart w:id="113" w:name="_Toc5825928"/>
      <w:r>
        <w:rPr>
          <w:rFonts w:ascii="Times New Roman" w:hAnsi="Times New Roman" w:cs="Times New Roman"/>
        </w:rPr>
        <w:t>水土流失动态变化</w:t>
      </w:r>
      <w:bookmarkEnd w:id="107"/>
      <w:bookmarkEnd w:id="108"/>
      <w:bookmarkEnd w:id="109"/>
      <w:bookmarkEnd w:id="110"/>
      <w:bookmarkEnd w:id="111"/>
      <w:bookmarkEnd w:id="112"/>
      <w:bookmarkEnd w:id="113"/>
    </w:p>
    <w:p>
      <w:pPr>
        <w:ind w:firstLine="480"/>
        <w:rPr>
          <w:rFonts w:cs="Times New Roman"/>
        </w:rPr>
      </w:pPr>
      <w:r>
        <w:rPr>
          <w:rFonts w:hint="eastAsia" w:cs="Times New Roman"/>
        </w:rPr>
        <w:t>按照《开发建设项目水土保持技术规范》(GB50433-2008)、《开发建设项目水土流失防治标准》要求和有关规定，本项目水土流失防治的总体要求是：预防和防治责任范围的水土流失，通过实施主体工程具有水土保持功能的各项措施及水土保持措施，保障工程建设及运行安全，并尽可能改善工程区生态环境。</w:t>
      </w:r>
    </w:p>
    <w:p>
      <w:pPr>
        <w:ind w:firstLine="480"/>
        <w:rPr>
          <w:rFonts w:cs="Times New Roman"/>
        </w:rPr>
      </w:pPr>
      <w:r>
        <w:rPr>
          <w:rFonts w:hint="eastAsia" w:cs="Times New Roman"/>
        </w:rPr>
        <w:t>由于本项目位于四川省</w:t>
      </w:r>
      <w:r>
        <w:rPr>
          <w:rFonts w:hint="eastAsia" w:cs="Times New Roman"/>
          <w:lang w:eastAsia="zh-CN"/>
        </w:rPr>
        <w:t>成都市天府新区</w:t>
      </w:r>
      <w:r>
        <w:rPr>
          <w:rFonts w:hint="eastAsia" w:cs="Times New Roman"/>
        </w:rPr>
        <w:t>境内，</w:t>
      </w:r>
      <w:r>
        <w:rPr>
          <w:rFonts w:hint="eastAsia" w:cs="Times New Roman"/>
          <w:lang w:eastAsia="zh-CN"/>
        </w:rPr>
        <w:t>成都市天府新区</w:t>
      </w:r>
      <w:r>
        <w:rPr>
          <w:rFonts w:hint="eastAsia" w:cs="Times New Roman"/>
        </w:rPr>
        <w:t>不属于水土流失重点预防区和重点治理区。项目位于县级及以上城市区域，参照《开发建设项目水土流失防治标准》（GB50434-2018）的规定以及结合本工程实际情况，本项目水土保持防治执行西南紫色土区水土流失防治一级标准。</w:t>
      </w:r>
    </w:p>
    <w:p>
      <w:pPr>
        <w:ind w:firstLine="480"/>
        <w:rPr>
          <w:rFonts w:cs="Times New Roman"/>
          <w:iCs/>
          <w:lang w:bidi="ar"/>
        </w:rPr>
      </w:pPr>
      <w:r>
        <w:rPr>
          <w:rFonts w:cs="Times New Roman"/>
        </w:rPr>
        <w:t>根据批复的水土保持方案，最终工程水土流失防治目标为：</w:t>
      </w:r>
      <w:r>
        <w:t>扰动土地整治率</w:t>
      </w:r>
      <w:r>
        <w:rPr>
          <w:rFonts w:hint="eastAsia"/>
        </w:rPr>
        <w:t>95%，</w:t>
      </w:r>
      <w:r>
        <w:rPr>
          <w:rFonts w:hint="eastAsia" w:cs="Times New Roman"/>
          <w:iCs/>
          <w:lang w:bidi="ar"/>
        </w:rPr>
        <w:t>水土流失总治理度</w:t>
      </w:r>
      <w:r>
        <w:rPr>
          <w:rFonts w:cs="Times New Roman"/>
          <w:iCs/>
          <w:lang w:bidi="ar"/>
        </w:rPr>
        <w:t>达</w:t>
      </w:r>
      <w:r>
        <w:rPr>
          <w:rFonts w:hint="eastAsia" w:cs="Times New Roman"/>
          <w:iCs/>
          <w:lang w:bidi="ar"/>
        </w:rPr>
        <w:t>97</w:t>
      </w:r>
      <w:r>
        <w:rPr>
          <w:rFonts w:cs="Times New Roman"/>
          <w:iCs/>
          <w:lang w:bidi="ar"/>
        </w:rPr>
        <w:t>%，水土流失控制比</w:t>
      </w:r>
      <w:r>
        <w:rPr>
          <w:rFonts w:hint="eastAsia" w:cs="Times New Roman"/>
          <w:iCs/>
          <w:lang w:bidi="ar"/>
        </w:rPr>
        <w:t>1.0</w:t>
      </w:r>
      <w:r>
        <w:rPr>
          <w:rFonts w:cs="Times New Roman"/>
          <w:iCs/>
          <w:lang w:bidi="ar"/>
        </w:rPr>
        <w:t>，</w:t>
      </w:r>
      <w:r>
        <w:rPr>
          <w:rFonts w:hint="eastAsia" w:cs="Times New Roman"/>
          <w:iCs/>
          <w:lang w:bidi="ar"/>
        </w:rPr>
        <w:t>拦渣率95</w:t>
      </w:r>
      <w:r>
        <w:rPr>
          <w:rFonts w:cs="Times New Roman"/>
          <w:iCs/>
          <w:lang w:bidi="ar"/>
        </w:rPr>
        <w:t>%，林草植被恢复率</w:t>
      </w:r>
      <w:r>
        <w:rPr>
          <w:rFonts w:hint="eastAsia" w:cs="Times New Roman"/>
          <w:iCs/>
          <w:lang w:bidi="ar"/>
        </w:rPr>
        <w:t>99</w:t>
      </w:r>
      <w:r>
        <w:rPr>
          <w:rFonts w:cs="Times New Roman"/>
          <w:iCs/>
          <w:lang w:bidi="ar"/>
        </w:rPr>
        <w:t>%，林草覆盖率达到</w:t>
      </w:r>
      <w:r>
        <w:rPr>
          <w:rFonts w:hint="eastAsia" w:cs="Times New Roman"/>
          <w:iCs/>
          <w:lang w:bidi="ar"/>
        </w:rPr>
        <w:t>27</w:t>
      </w:r>
      <w:r>
        <w:rPr>
          <w:rFonts w:cs="Times New Roman"/>
          <w:iCs/>
          <w:lang w:bidi="ar"/>
        </w:rPr>
        <w:t>%。</w:t>
      </w:r>
    </w:p>
    <w:p>
      <w:pPr>
        <w:ind w:firstLine="480"/>
        <w:rPr>
          <w:rFonts w:cs="Times New Roman"/>
        </w:rPr>
      </w:pPr>
      <w:r>
        <w:rPr>
          <w:rFonts w:hint="eastAsia" w:cs="Times New Roman"/>
          <w:lang w:eastAsia="zh-CN"/>
        </w:rPr>
        <w:t>上海千缘汽车车身模具有限公司关于汽车零部件制造的项目</w:t>
      </w:r>
      <w:r>
        <w:rPr>
          <w:rFonts w:hint="eastAsia" w:cs="Times New Roman"/>
        </w:rPr>
        <w:t>项目</w:t>
      </w:r>
      <w:r>
        <w:rPr>
          <w:rFonts w:cs="Times New Roman"/>
        </w:rPr>
        <w:t>在建设过程中，施工活动扰动原地貌和地表植被，实际造成水土流失面积</w:t>
      </w:r>
      <w:r>
        <w:rPr>
          <w:rFonts w:hint="eastAsia" w:cs="Times New Roman"/>
          <w:lang w:eastAsia="zh-CN"/>
        </w:rPr>
        <w:t>0.32</w:t>
      </w:r>
      <w:r>
        <w:rPr>
          <w:rFonts w:cs="Times New Roman"/>
        </w:rPr>
        <w:t>hm</w:t>
      </w:r>
      <w:r>
        <w:rPr>
          <w:rFonts w:cs="Times New Roman"/>
          <w:vertAlign w:val="superscript"/>
        </w:rPr>
        <w:t>2</w:t>
      </w:r>
      <w:r>
        <w:rPr>
          <w:rFonts w:cs="Times New Roman"/>
        </w:rPr>
        <w:t>，对应产生了一定的新增水土流失，主要表现为面蚀、沟蚀等，施工期本工程建设过程中的重点水土流失时段。</w:t>
      </w:r>
    </w:p>
    <w:p>
      <w:pPr>
        <w:ind w:firstLine="480"/>
        <w:rPr>
          <w:rFonts w:cs="Times New Roman"/>
        </w:rPr>
      </w:pPr>
      <w:r>
        <w:rPr>
          <w:rFonts w:hint="eastAsia" w:cs="Times New Roman"/>
        </w:rPr>
        <w:t>2020</w:t>
      </w:r>
      <w:r>
        <w:rPr>
          <w:rFonts w:cs="Times New Roman"/>
        </w:rPr>
        <w:t>年</w:t>
      </w:r>
      <w:r>
        <w:rPr>
          <w:rFonts w:hint="eastAsia" w:cs="Times New Roman"/>
          <w:lang w:val="en-US" w:eastAsia="zh-CN"/>
        </w:rPr>
        <w:t>6</w:t>
      </w:r>
      <w:r>
        <w:rPr>
          <w:rFonts w:cs="Times New Roman"/>
        </w:rPr>
        <w:t>月监测小组进场后，结合工程实际情况，及时与建设单位沟通交流，严格按照“报告书”要求通过调查与巡查监测落实各项水土保持措施。本项目以工程措施为主，植物措施为辅的水土流失防治措施体系，水土流失隐患得到了有效控制，水土流失危害得到有效避免。</w:t>
      </w:r>
    </w:p>
    <w:p>
      <w:pPr>
        <w:ind w:firstLine="480"/>
        <w:rPr>
          <w:rFonts w:cs="Times New Roman"/>
        </w:rPr>
      </w:pPr>
      <w:r>
        <w:rPr>
          <w:rFonts w:cs="Times New Roman"/>
        </w:rPr>
        <w:t>根据检测成果，已实施的水土保持工程防护措施保存完好、运行正常，水土保持植物措施效果逐渐显著，水土保持综合防治体系得到完善，工程总体新增水土流失量明显降低，目前水土流失强度在微度，达到了当地土壤侵蚀模数容许值，满足国家水土流失防治标准和水土保持方案报告书设计目标。</w:t>
      </w:r>
    </w:p>
    <w:p>
      <w:pPr>
        <w:ind w:firstLine="480"/>
        <w:rPr>
          <w:rFonts w:cs="Times New Roman"/>
          <w:snapToGrid w:val="0"/>
          <w:szCs w:val="21"/>
        </w:rPr>
      </w:pPr>
      <w:r>
        <w:rPr>
          <w:rFonts w:cs="Times New Roman"/>
        </w:rPr>
        <w:t>根据监测及统计成果，</w:t>
      </w:r>
      <w:r>
        <w:rPr>
          <w:rFonts w:cs="Times New Roman"/>
          <w:snapToGrid w:val="0"/>
          <w:szCs w:val="21"/>
        </w:rPr>
        <w:t>本项目水土流失防治责任范围为</w:t>
      </w:r>
      <w:r>
        <w:rPr>
          <w:rFonts w:hint="eastAsia" w:cs="Times New Roman"/>
          <w:snapToGrid w:val="0"/>
          <w:szCs w:val="21"/>
          <w:lang w:eastAsia="zh-CN"/>
        </w:rPr>
        <w:t>4.45</w:t>
      </w:r>
      <w:r>
        <w:rPr>
          <w:rFonts w:cs="Times New Roman"/>
          <w:snapToGrid w:val="0"/>
          <w:szCs w:val="21"/>
        </w:rPr>
        <w:t>hm</w:t>
      </w:r>
      <w:r>
        <w:rPr>
          <w:rFonts w:cs="Times New Roman"/>
          <w:snapToGrid w:val="0"/>
          <w:szCs w:val="21"/>
          <w:vertAlign w:val="superscript"/>
        </w:rPr>
        <w:t>2</w:t>
      </w:r>
      <w:r>
        <w:rPr>
          <w:rFonts w:cs="Times New Roman"/>
          <w:snapToGrid w:val="0"/>
          <w:szCs w:val="21"/>
        </w:rPr>
        <w:t>，扰动土地面积</w:t>
      </w:r>
      <w:r>
        <w:rPr>
          <w:rFonts w:hint="eastAsia" w:cs="Times New Roman"/>
          <w:snapToGrid w:val="0"/>
          <w:szCs w:val="21"/>
          <w:lang w:eastAsia="zh-CN"/>
        </w:rPr>
        <w:t>4.45</w:t>
      </w:r>
      <w:r>
        <w:rPr>
          <w:rFonts w:cs="Times New Roman"/>
          <w:snapToGrid w:val="0"/>
          <w:szCs w:val="21"/>
        </w:rPr>
        <w:t>hm</w:t>
      </w:r>
      <w:r>
        <w:rPr>
          <w:rFonts w:cs="Times New Roman"/>
          <w:snapToGrid w:val="0"/>
          <w:szCs w:val="21"/>
          <w:vertAlign w:val="superscript"/>
        </w:rPr>
        <w:t>2</w:t>
      </w:r>
      <w:r>
        <w:rPr>
          <w:rFonts w:cs="Times New Roman"/>
          <w:snapToGrid w:val="0"/>
          <w:szCs w:val="21"/>
        </w:rPr>
        <w:t>，其中建筑物及场地硬化占地</w:t>
      </w:r>
      <w:r>
        <w:rPr>
          <w:rFonts w:hint="eastAsia" w:cs="Times New Roman"/>
          <w:snapToGrid w:val="0"/>
          <w:szCs w:val="21"/>
          <w:lang w:eastAsia="zh-CN"/>
        </w:rPr>
        <w:t>4.13</w:t>
      </w:r>
      <w:r>
        <w:rPr>
          <w:rFonts w:cs="Times New Roman"/>
          <w:snapToGrid w:val="0"/>
          <w:szCs w:val="21"/>
        </w:rPr>
        <w:t>hm</w:t>
      </w:r>
      <w:r>
        <w:rPr>
          <w:rFonts w:cs="Times New Roman"/>
          <w:snapToGrid w:val="0"/>
          <w:szCs w:val="21"/>
          <w:vertAlign w:val="superscript"/>
        </w:rPr>
        <w:t>2</w:t>
      </w:r>
      <w:r>
        <w:rPr>
          <w:rFonts w:cs="Times New Roman"/>
          <w:snapToGrid w:val="0"/>
          <w:szCs w:val="21"/>
        </w:rPr>
        <w:t>，工程措施，植物措施面积</w:t>
      </w:r>
      <w:r>
        <w:rPr>
          <w:rFonts w:hint="eastAsia" w:cs="Times New Roman"/>
          <w:snapToGrid w:val="0"/>
          <w:szCs w:val="21"/>
          <w:lang w:eastAsia="zh-CN"/>
        </w:rPr>
        <w:t>0.32</w:t>
      </w:r>
      <w:r>
        <w:rPr>
          <w:rFonts w:hint="eastAsia" w:cs="Times New Roman"/>
          <w:snapToGrid w:val="0"/>
          <w:szCs w:val="21"/>
        </w:rPr>
        <w:t xml:space="preserve"> </w:t>
      </w:r>
      <w:r>
        <w:rPr>
          <w:rFonts w:cs="Times New Roman"/>
          <w:snapToGrid w:val="0"/>
          <w:szCs w:val="21"/>
        </w:rPr>
        <w:t>hm</w:t>
      </w:r>
      <w:r>
        <w:rPr>
          <w:rFonts w:cs="Times New Roman"/>
          <w:snapToGrid w:val="0"/>
          <w:szCs w:val="21"/>
          <w:vertAlign w:val="superscript"/>
        </w:rPr>
        <w:t>2</w:t>
      </w:r>
      <w:r>
        <w:rPr>
          <w:rFonts w:cs="Times New Roman"/>
          <w:snapToGrid w:val="0"/>
          <w:szCs w:val="21"/>
        </w:rPr>
        <w:t>，水土保持防治效果明显，至设计水平年结束，项目建设区</w:t>
      </w:r>
      <w:r>
        <w:rPr>
          <w:rFonts w:hint="eastAsia" w:cs="Times New Roman"/>
        </w:rPr>
        <w:t>扰动土地整治率</w:t>
      </w:r>
      <w:r>
        <w:rPr>
          <w:rFonts w:hint="eastAsia" w:cs="Times New Roman"/>
          <w:lang w:eastAsia="zh-CN"/>
        </w:rPr>
        <w:t>99.97</w:t>
      </w:r>
      <w:r>
        <w:rPr>
          <w:rFonts w:hint="eastAsia" w:cs="Times New Roman"/>
        </w:rPr>
        <w:t>%、水土流失总治理度</w:t>
      </w:r>
      <w:r>
        <w:rPr>
          <w:rFonts w:hint="eastAsia" w:cs="Times New Roman"/>
          <w:lang w:eastAsia="zh-CN"/>
        </w:rPr>
        <w:t>99.63</w:t>
      </w:r>
      <w:r>
        <w:rPr>
          <w:rFonts w:hint="eastAsia" w:cs="Times New Roman"/>
        </w:rPr>
        <w:t>%、土壤流失控制比1.2</w:t>
      </w:r>
      <w:r>
        <w:rPr>
          <w:rFonts w:hint="eastAsia" w:cs="Times New Roman"/>
          <w:lang w:val="en-US" w:eastAsia="zh-CN"/>
        </w:rPr>
        <w:t>3</w:t>
      </w:r>
      <w:r>
        <w:rPr>
          <w:rFonts w:hint="eastAsia" w:cs="Times New Roman"/>
        </w:rPr>
        <w:t>、拦渣率</w:t>
      </w:r>
      <w:r>
        <w:rPr>
          <w:rFonts w:hint="eastAsia" w:cs="Times New Roman"/>
          <w:lang w:eastAsia="zh-CN"/>
        </w:rPr>
        <w:t>99.84</w:t>
      </w:r>
      <w:r>
        <w:rPr>
          <w:rFonts w:hint="eastAsia" w:cs="Times New Roman"/>
        </w:rPr>
        <w:t>%、林草植被恢复率</w:t>
      </w:r>
      <w:r>
        <w:rPr>
          <w:rFonts w:hint="eastAsia" w:cs="Times New Roman"/>
          <w:lang w:eastAsia="zh-CN"/>
        </w:rPr>
        <w:t>99.61</w:t>
      </w:r>
      <w:r>
        <w:rPr>
          <w:rFonts w:hint="eastAsia" w:cs="Times New Roman"/>
        </w:rPr>
        <w:t>%、林草覆盖率</w:t>
      </w:r>
      <w:r>
        <w:rPr>
          <w:rFonts w:hint="eastAsia" w:cs="Times New Roman"/>
          <w:lang w:eastAsia="zh-CN"/>
        </w:rPr>
        <w:t>7.0</w:t>
      </w:r>
      <w:r>
        <w:rPr>
          <w:rFonts w:hint="eastAsia" w:cs="Times New Roman"/>
        </w:rPr>
        <w:t>%</w:t>
      </w:r>
      <w:r>
        <w:rPr>
          <w:rFonts w:cs="Times New Roman"/>
          <w:snapToGrid w:val="0"/>
          <w:szCs w:val="21"/>
        </w:rPr>
        <w:t>，六项防治标准均能达到并超过水保方案设计及现行国家规定的的水土流失防治目标。</w:t>
      </w:r>
    </w:p>
    <w:p>
      <w:pPr>
        <w:ind w:firstLine="480"/>
        <w:rPr>
          <w:rFonts w:eastAsia="黑体" w:cs="Times New Roman"/>
          <w:sz w:val="21"/>
        </w:rPr>
      </w:pPr>
      <w:r>
        <w:rPr>
          <w:rFonts w:cs="Times New Roman"/>
        </w:rPr>
        <w:t>通过对项目区村民、政府、施工单位及建设单位的调查，证实在</w:t>
      </w:r>
      <w:r>
        <w:rPr>
          <w:rFonts w:hint="eastAsia" w:cs="Times New Roman"/>
          <w:lang w:eastAsia="zh-CN"/>
        </w:rPr>
        <w:t>上海千缘汽车车身模具有限公司关于汽车零部件制造的项目</w:t>
      </w:r>
      <w:r>
        <w:rPr>
          <w:rFonts w:hint="eastAsia" w:cs="Times New Roman"/>
        </w:rPr>
        <w:t>项目</w:t>
      </w:r>
      <w:r>
        <w:rPr>
          <w:rFonts w:cs="Times New Roman"/>
        </w:rPr>
        <w:t>施工过程中未发生水土流失事故，工程建设过程中的水土流失投诉为零，工程建设中总体的水土流失危害较小，基本达到了防治水土流失的目的和效果。</w:t>
      </w:r>
    </w:p>
    <w:p>
      <w:pPr>
        <w:pStyle w:val="3"/>
        <w:rPr>
          <w:rFonts w:ascii="Times New Roman" w:hAnsi="Times New Roman" w:cs="Times New Roman"/>
        </w:rPr>
      </w:pPr>
      <w:bookmarkStart w:id="114" w:name="_Toc2534385"/>
      <w:bookmarkStart w:id="115" w:name="_Toc535141837"/>
      <w:bookmarkStart w:id="116" w:name="_Toc5868"/>
      <w:bookmarkStart w:id="117" w:name="_Toc447186204"/>
      <w:bookmarkStart w:id="118" w:name="_Toc454872244"/>
      <w:bookmarkStart w:id="119" w:name="_Toc531772010"/>
      <w:bookmarkStart w:id="120" w:name="_Toc5825929"/>
      <w:r>
        <w:rPr>
          <w:rFonts w:ascii="Times New Roman" w:hAnsi="Times New Roman" w:cs="Times New Roman"/>
        </w:rPr>
        <w:t>水土保持措施评价</w:t>
      </w:r>
      <w:bookmarkEnd w:id="114"/>
      <w:bookmarkEnd w:id="115"/>
      <w:bookmarkEnd w:id="116"/>
      <w:bookmarkEnd w:id="117"/>
      <w:bookmarkEnd w:id="118"/>
      <w:bookmarkEnd w:id="119"/>
      <w:bookmarkEnd w:id="120"/>
    </w:p>
    <w:p>
      <w:pPr>
        <w:ind w:firstLine="480"/>
        <w:rPr>
          <w:rFonts w:cs="Times New Roman"/>
        </w:rPr>
      </w:pPr>
      <w:r>
        <w:rPr>
          <w:rFonts w:cs="Times New Roman"/>
        </w:rPr>
        <w:t>(1)水土保持措施体系布局</w:t>
      </w:r>
    </w:p>
    <w:p>
      <w:pPr>
        <w:tabs>
          <w:tab w:val="left" w:pos="0"/>
        </w:tabs>
        <w:ind w:firstLine="480"/>
        <w:rPr>
          <w:rFonts w:cs="Times New Roman"/>
        </w:rPr>
      </w:pPr>
      <w:r>
        <w:rPr>
          <w:rFonts w:cs="Times New Roman"/>
          <w:color w:val="000000" w:themeColor="text1"/>
          <w14:textFill>
            <w14:solidFill>
              <w14:schemeClr w14:val="tx1"/>
            </w14:solidFill>
          </w14:textFill>
        </w:rPr>
        <w:t>监测组经过审阅设计、施工档案及相关验收资料，并进行了实地查勘，认为水土流失防治措施在总体布局上基本维持了原设计的框架</w:t>
      </w:r>
      <w:r>
        <w:rPr>
          <w:rFonts w:cs="Times New Roman"/>
        </w:rPr>
        <w:t>。工程建设单位在严格设计管理的前提下，根据实际情况对该工程水土保持措施的总体布局和水土保持工程措施的具体设计进行适度调整是合理的、适宜的。根据实地抽查复核和回访，未造成水土流失事故，从目前恢复情况看植被覆盖度基本满足水土保持要求。</w:t>
      </w:r>
    </w:p>
    <w:p>
      <w:pPr>
        <w:ind w:firstLine="480"/>
        <w:rPr>
          <w:rFonts w:cs="Times New Roman"/>
        </w:rPr>
      </w:pPr>
      <w:r>
        <w:rPr>
          <w:rFonts w:cs="Times New Roman"/>
        </w:rPr>
        <w:t>水土流失防治效果达到了国家有关法律、法规和技术规范的要求，投资与调整报告批复的投资相比有所增加，治理规模合适，治理效果较好，达到水土流失防治目标。因此，评估组认为水土流失防治总体布局合理，治理效果满足要求。</w:t>
      </w:r>
    </w:p>
    <w:p>
      <w:pPr>
        <w:ind w:firstLine="480"/>
        <w:rPr>
          <w:rFonts w:cs="Times New Roman"/>
        </w:rPr>
      </w:pPr>
      <w:r>
        <w:rPr>
          <w:rFonts w:cs="Times New Roman"/>
        </w:rPr>
        <w:t>(2)水土保持措施数量变化情况</w:t>
      </w:r>
    </w:p>
    <w:p>
      <w:pPr>
        <w:ind w:firstLine="480"/>
        <w:rPr>
          <w:rFonts w:cs="Times New Roman"/>
        </w:rPr>
      </w:pPr>
      <w:r>
        <w:rPr>
          <w:rFonts w:cs="Times New Roman"/>
        </w:rPr>
        <w:t>总体从 “报告书”来看</w:t>
      </w:r>
      <w:r>
        <w:rPr>
          <w:rFonts w:hint="eastAsia" w:cs="Times New Roman"/>
        </w:rPr>
        <w:t>，</w:t>
      </w:r>
      <w:r>
        <w:rPr>
          <w:rFonts w:hint="eastAsia" w:cs="Times New Roman"/>
          <w:lang w:eastAsia="zh-CN"/>
        </w:rPr>
        <w:t>建构筑物防治区</w:t>
      </w:r>
      <w:r>
        <w:rPr>
          <w:rFonts w:cs="Times New Roman"/>
        </w:rPr>
        <w:t>基本按照水土保持的要求实施了工程、植物和临时措施等各类水土保持措施，</w:t>
      </w:r>
      <w:r>
        <w:rPr>
          <w:rFonts w:hint="eastAsia" w:cs="Times New Roman"/>
          <w:lang w:eastAsia="zh-CN"/>
        </w:rPr>
        <w:t>建构筑物防治区</w:t>
      </w:r>
      <w:r>
        <w:rPr>
          <w:rFonts w:cs="Times New Roman"/>
        </w:rPr>
        <w:t>中针对工程区域降雨较多的实际情况，优化水土保持措施，有效的保证了</w:t>
      </w:r>
      <w:r>
        <w:rPr>
          <w:rFonts w:hint="eastAsia" w:cs="Times New Roman"/>
          <w:lang w:eastAsia="zh-CN"/>
        </w:rPr>
        <w:t>建构筑物防治区</w:t>
      </w:r>
      <w:r>
        <w:rPr>
          <w:rFonts w:cs="Times New Roman"/>
        </w:rPr>
        <w:t>的正常运行。</w:t>
      </w:r>
    </w:p>
    <w:p>
      <w:pPr>
        <w:ind w:firstLine="480"/>
        <w:rPr>
          <w:rFonts w:cs="Times New Roman"/>
        </w:rPr>
      </w:pPr>
      <w:r>
        <w:rPr>
          <w:rFonts w:cs="Times New Roman"/>
        </w:rPr>
        <w:t>（3）水土保持措施运行维护情况</w:t>
      </w:r>
    </w:p>
    <w:p>
      <w:pPr>
        <w:ind w:firstLine="480"/>
        <w:rPr>
          <w:rFonts w:cs="Times New Roman"/>
        </w:rPr>
      </w:pPr>
      <w:r>
        <w:rPr>
          <w:rFonts w:cs="Times New Roman"/>
        </w:rPr>
        <w:t>工程措施：通过查阅施工期间的资料，建设单位重视已有工程措施的管护工作，在工程建设中，对排水沟进行定期巡视和修补，对挡护措施破损或排水沟淤积，及时进行修补和定期清淤。工程试运行后，</w:t>
      </w:r>
      <w:r>
        <w:rPr>
          <w:rFonts w:hint="eastAsia" w:cs="Times New Roman"/>
          <w:lang w:eastAsia="zh-CN"/>
        </w:rPr>
        <w:t>建构筑物防治区</w:t>
      </w:r>
      <w:r>
        <w:rPr>
          <w:rFonts w:cs="Times New Roman"/>
        </w:rPr>
        <w:t>实施的</w:t>
      </w:r>
      <w:r>
        <w:rPr>
          <w:rFonts w:hint="eastAsia" w:cs="Times New Roman"/>
        </w:rPr>
        <w:t>排水</w:t>
      </w:r>
      <w:r>
        <w:rPr>
          <w:rFonts w:cs="Times New Roman"/>
        </w:rPr>
        <w:t>系统等工程措施进行定期巡视，并对不完善措施及时修整，确保已有工程措施运行良好。</w:t>
      </w:r>
    </w:p>
    <w:p>
      <w:pPr>
        <w:ind w:firstLine="480"/>
        <w:rPr>
          <w:rFonts w:cs="Times New Roman"/>
        </w:rPr>
      </w:pPr>
      <w:r>
        <w:rPr>
          <w:rFonts w:cs="Times New Roman"/>
        </w:rPr>
        <w:t>植物措施：通过查阅施工期间的资料，在施工过程中，建设单位重视原有地表植被保护，对工区内剥离的表土集中保存、专人养护，基本保证了表土的肥沃性，施工结束后及时回填表土；施工后期，在植物措施实施后及时对已有绿化植物进行了浇水、更替枯死植株、围栏防护等养护管理。</w:t>
      </w:r>
    </w:p>
    <w:p>
      <w:pPr>
        <w:ind w:firstLine="480"/>
        <w:rPr>
          <w:rFonts w:cs="Times New Roman"/>
        </w:rPr>
      </w:pPr>
      <w:r>
        <w:rPr>
          <w:rFonts w:cs="Times New Roman"/>
        </w:rPr>
        <w:t>临时措施：通过查阅施工期间的资料，在施工过程中施工单位对临时挡护、临时遮盖等临时措施进行及时检查和维护，发现破损和淤积及时进行修补、更换和清理，基本保证了这些临时措施充分发挥水土保持作用。</w:t>
      </w:r>
    </w:p>
    <w:p>
      <w:pPr>
        <w:ind w:firstLine="480"/>
        <w:rPr>
          <w:rFonts w:cs="Times New Roman"/>
        </w:rPr>
      </w:pPr>
      <w:r>
        <w:rPr>
          <w:rFonts w:cs="Times New Roman"/>
        </w:rPr>
        <w:t>（4）水土保持措施总体效果评价</w:t>
      </w:r>
    </w:p>
    <w:p>
      <w:pPr>
        <w:ind w:firstLine="360" w:firstLineChars="150"/>
        <w:rPr>
          <w:rFonts w:cs="Times New Roman"/>
        </w:rPr>
      </w:pPr>
      <w:r>
        <w:rPr>
          <w:rFonts w:cs="Times New Roman"/>
        </w:rPr>
        <w:t>本工程施工过程中实施的各项水土保持措施基本控制了工程建设带来的新增水土流失。</w:t>
      </w:r>
    </w:p>
    <w:p>
      <w:pPr>
        <w:ind w:firstLine="360" w:firstLineChars="150"/>
        <w:rPr>
          <w:rFonts w:cs="Times New Roman"/>
        </w:rPr>
      </w:pPr>
      <w:r>
        <w:rPr>
          <w:rFonts w:cs="Times New Roman"/>
        </w:rPr>
        <w:t xml:space="preserve"> 工程措施：通过查阅施工期间的资料，</w:t>
      </w:r>
      <w:r>
        <w:rPr>
          <w:rFonts w:hint="eastAsia" w:cs="Times New Roman"/>
          <w:lang w:eastAsia="zh-CN"/>
        </w:rPr>
        <w:t>建构筑物防治区</w:t>
      </w:r>
      <w:r>
        <w:rPr>
          <w:rFonts w:cs="Times New Roman"/>
        </w:rPr>
        <w:t>内排水良好，植物措施起到防护效果无冲蚀迹象；排水管网等工程措施大部分保存完整、运行良好。</w:t>
      </w:r>
    </w:p>
    <w:p>
      <w:pPr>
        <w:ind w:firstLine="480"/>
        <w:rPr>
          <w:rFonts w:cs="Times New Roman"/>
        </w:rPr>
      </w:pPr>
      <w:r>
        <w:rPr>
          <w:rFonts w:cs="Times New Roman"/>
        </w:rPr>
        <w:t>植物措施：通过查阅施工期间的资料，</w:t>
      </w:r>
      <w:r>
        <w:rPr>
          <w:rFonts w:hint="eastAsia" w:cs="Times New Roman"/>
          <w:lang w:eastAsia="zh-CN"/>
        </w:rPr>
        <w:t>建构筑物防治区</w:t>
      </w:r>
      <w:r>
        <w:rPr>
          <w:rFonts w:cs="Times New Roman"/>
        </w:rPr>
        <w:t>在施工结束后及时实施了相应的植物措施，</w:t>
      </w:r>
      <w:r>
        <w:rPr>
          <w:rFonts w:hint="eastAsia" w:cs="Times New Roman"/>
          <w:lang w:eastAsia="zh-CN"/>
        </w:rPr>
        <w:t>道路及硬化工程防治区</w:t>
      </w:r>
      <w:r>
        <w:rPr>
          <w:rFonts w:cs="Times New Roman"/>
        </w:rPr>
        <w:t>域已进行景观绿化，植物措施形成的覆盖层达到了良好的防治效果；采取的迹地复耕或植物措施在林草恢复期起到了绿化和防治水土流失的良好效果。</w:t>
      </w:r>
    </w:p>
    <w:p>
      <w:pPr>
        <w:ind w:firstLine="360" w:firstLineChars="150"/>
        <w:rPr>
          <w:rFonts w:cs="Times New Roman"/>
        </w:rPr>
      </w:pPr>
      <w:r>
        <w:rPr>
          <w:rFonts w:cs="Times New Roman"/>
        </w:rPr>
        <w:t xml:space="preserve"> 临时措施：通过查阅施工期间的资料，施工过程中，临时拦挡、临时遮盖措施实施及时，实施量基本满足现场水土流失防治需要。整体上临时措施有效发挥了水土保持作用，减少了施工过程中的水土流失。</w:t>
      </w:r>
    </w:p>
    <w:p>
      <w:pPr>
        <w:ind w:firstLine="480"/>
        <w:rPr>
          <w:rFonts w:cs="Times New Roman"/>
        </w:rPr>
      </w:pPr>
      <w:r>
        <w:rPr>
          <w:rFonts w:cs="Times New Roman"/>
        </w:rPr>
        <w:t>目前工程</w:t>
      </w:r>
      <w:r>
        <w:rPr>
          <w:rFonts w:hint="eastAsia" w:cs="Times New Roman"/>
        </w:rPr>
        <w:t>基本</w:t>
      </w:r>
      <w:r>
        <w:rPr>
          <w:rFonts w:cs="Times New Roman"/>
        </w:rPr>
        <w:t>竣工，</w:t>
      </w:r>
      <w:r>
        <w:rPr>
          <w:rFonts w:hint="eastAsia" w:cs="Times New Roman"/>
        </w:rPr>
        <w:t>建设期</w:t>
      </w:r>
      <w:r>
        <w:rPr>
          <w:rFonts w:cs="Times New Roman"/>
        </w:rPr>
        <w:t>内工程在已建成的各类排水等工程措施的防护下，排水基本通畅，周边住户及</w:t>
      </w:r>
      <w:r>
        <w:rPr>
          <w:rFonts w:hint="eastAsia" w:cs="Times New Roman"/>
        </w:rPr>
        <w:t>未</w:t>
      </w:r>
      <w:r>
        <w:rPr>
          <w:rFonts w:cs="Times New Roman"/>
        </w:rPr>
        <w:t>受到影响，大部分已实施的迹地植物恢复措施在养护和管理下生长良好，工程整体植被覆盖率较高，有效发挥了减轻土壤侵蚀强度、美化生态环境的作用。总体上讲，工程建设过程中采取的各项水土保持措施基本控制了新增水土流失。</w:t>
      </w:r>
    </w:p>
    <w:p>
      <w:pPr>
        <w:pStyle w:val="3"/>
        <w:rPr>
          <w:rFonts w:ascii="Times New Roman" w:hAnsi="Times New Roman" w:cs="Times New Roman"/>
        </w:rPr>
      </w:pPr>
      <w:bookmarkStart w:id="121" w:name="_Toc3453"/>
      <w:bookmarkStart w:id="122" w:name="_Toc535141838"/>
      <w:bookmarkStart w:id="123" w:name="_Toc2534386"/>
      <w:bookmarkStart w:id="124" w:name="_Toc440958539"/>
      <w:bookmarkStart w:id="125" w:name="_Toc5825930"/>
      <w:bookmarkStart w:id="126" w:name="_Toc454872245"/>
      <w:bookmarkStart w:id="127" w:name="_Toc531772011"/>
      <w:r>
        <w:rPr>
          <w:rFonts w:ascii="Times New Roman" w:hAnsi="Times New Roman" w:cs="Times New Roman"/>
        </w:rPr>
        <w:t>存在的问题与建议</w:t>
      </w:r>
      <w:bookmarkEnd w:id="121"/>
      <w:bookmarkEnd w:id="122"/>
      <w:bookmarkEnd w:id="123"/>
      <w:bookmarkEnd w:id="124"/>
      <w:bookmarkEnd w:id="125"/>
      <w:bookmarkEnd w:id="126"/>
      <w:bookmarkEnd w:id="127"/>
    </w:p>
    <w:p>
      <w:pPr>
        <w:ind w:firstLine="480"/>
        <w:rPr>
          <w:rFonts w:cs="Times New Roman"/>
        </w:rPr>
      </w:pPr>
      <w:r>
        <w:rPr>
          <w:rFonts w:cs="Times New Roman"/>
        </w:rPr>
        <w:t>本工程实施的工程、植物措施满足水土保持要求，但在后期仍需加强实施的植物措施的管护工作。</w:t>
      </w:r>
    </w:p>
    <w:p>
      <w:pPr>
        <w:pStyle w:val="3"/>
        <w:rPr>
          <w:rFonts w:ascii="Times New Roman" w:hAnsi="Times New Roman" w:cs="Times New Roman"/>
        </w:rPr>
      </w:pPr>
      <w:bookmarkStart w:id="128" w:name="_Toc2534387"/>
      <w:bookmarkStart w:id="129" w:name="_Toc5825931"/>
      <w:bookmarkStart w:id="130" w:name="_Toc8573"/>
      <w:bookmarkStart w:id="131" w:name="_Toc440958540"/>
      <w:bookmarkStart w:id="132" w:name="_Toc531772012"/>
      <w:bookmarkStart w:id="133" w:name="_Toc535141839"/>
      <w:bookmarkStart w:id="134" w:name="_Toc454872246"/>
      <w:r>
        <w:rPr>
          <w:rFonts w:ascii="Times New Roman" w:hAnsi="Times New Roman" w:cs="Times New Roman"/>
        </w:rPr>
        <w:t>综合结论</w:t>
      </w:r>
      <w:bookmarkEnd w:id="128"/>
      <w:bookmarkEnd w:id="129"/>
      <w:bookmarkEnd w:id="130"/>
      <w:bookmarkEnd w:id="131"/>
      <w:bookmarkEnd w:id="132"/>
      <w:bookmarkEnd w:id="133"/>
      <w:bookmarkEnd w:id="134"/>
    </w:p>
    <w:p>
      <w:pPr>
        <w:ind w:firstLine="480"/>
        <w:rPr>
          <w:rFonts w:cs="Times New Roman"/>
        </w:rPr>
      </w:pPr>
      <w:r>
        <w:rPr>
          <w:rFonts w:hint="eastAsia" w:cs="Times New Roman"/>
          <w:lang w:eastAsia="zh-CN"/>
        </w:rPr>
        <w:t>上海千缘汽车车身模具有限公司关于汽车零部件制造的项目</w:t>
      </w:r>
      <w:r>
        <w:rPr>
          <w:rFonts w:hint="eastAsia" w:cs="Times New Roman"/>
        </w:rPr>
        <w:t>项目</w:t>
      </w:r>
      <w:r>
        <w:rPr>
          <w:rFonts w:cs="Times New Roman"/>
        </w:rPr>
        <w:t>建设单位在工程建设过程中对水土保持工作给予了充分的重视，按照水土保持相关的法律法规，在项目前期委托有关单位编报了水土保持方案，并取得批复。在实际施工过程中，水土保持防治措施较批复方案有局部变化，但基本保持原设计思路，工程基本落实了水土保持方案报告设计的各项水土流失防治措施，将工程建设过程中的水土保持工程的建设和管理纳入高标准、规范化管理模式和程序中，在工程建设过程中落实了项目法人、建设单位、施工单位、监理单位的水土保持职责，强化了对水土保持工程的管理，确保了水土保持方案报告的顺利实施。</w:t>
      </w:r>
    </w:p>
    <w:p>
      <w:pPr>
        <w:ind w:firstLine="480"/>
        <w:rPr>
          <w:rFonts w:cs="Times New Roman"/>
        </w:rPr>
      </w:pPr>
      <w:r>
        <w:rPr>
          <w:rFonts w:cs="Times New Roman"/>
        </w:rPr>
        <w:t>项目建设单位对本工程水土流失防治责任范围内的水土流失进行了全面、系统的治理，完成了水土保持批复方案确定的各项防治任务、目标。从监测的成果来看，工程项目区内</w:t>
      </w:r>
      <w:r>
        <w:rPr>
          <w:rFonts w:hint="eastAsia" w:cs="Times New Roman"/>
          <w:lang w:eastAsia="zh-CN"/>
        </w:rPr>
        <w:t>建构筑物防治区</w:t>
      </w:r>
      <w:r>
        <w:rPr>
          <w:rFonts w:cs="Times New Roman"/>
        </w:rPr>
        <w:t>等区域的排水系统较为完善，植物措施得到了较好的落实。总体来看，本工程水土保持措施落实较好，施工过程中的水土流失得到了有效控制，项目区大部分区域水土流失强度由中度下降到轻度以下。经过系统的整治，项目区生态环境有明显的改善，总体上发挥了较好的保水保土、改善区域生态环境的作用。</w:t>
      </w:r>
    </w:p>
    <w:p>
      <w:pPr>
        <w:widowControl/>
        <w:spacing w:line="240" w:lineRule="auto"/>
        <w:ind w:firstLine="0" w:firstLineChars="0"/>
        <w:jc w:val="left"/>
        <w:rPr>
          <w:rFonts w:eastAsia="黑体" w:cs="Times New Roman"/>
          <w:sz w:val="21"/>
        </w:rPr>
      </w:pPr>
      <w:r>
        <w:rPr>
          <w:rFonts w:cs="Times New Roman"/>
        </w:rPr>
        <w:br w:type="page"/>
      </w:r>
    </w:p>
    <w:p>
      <w:pPr>
        <w:pStyle w:val="2"/>
        <w:rPr>
          <w:rFonts w:cs="Times New Roman"/>
        </w:rPr>
      </w:pPr>
      <w:bookmarkStart w:id="135" w:name="_Toc5825932"/>
      <w:bookmarkStart w:id="136" w:name="_Toc2534388"/>
      <w:bookmarkStart w:id="137" w:name="_Toc8662"/>
      <w:r>
        <w:rPr>
          <w:rFonts w:cs="Times New Roman"/>
        </w:rPr>
        <w:t>附图及有关资料</w:t>
      </w:r>
      <w:bookmarkEnd w:id="135"/>
      <w:bookmarkEnd w:id="136"/>
      <w:bookmarkEnd w:id="137"/>
    </w:p>
    <w:p>
      <w:pPr>
        <w:pStyle w:val="3"/>
        <w:rPr>
          <w:rFonts w:ascii="Times New Roman" w:hAnsi="Times New Roman" w:cs="Times New Roman"/>
        </w:rPr>
      </w:pPr>
      <w:bookmarkStart w:id="138" w:name="_Toc5825933"/>
      <w:bookmarkStart w:id="139" w:name="_Toc16749"/>
      <w:r>
        <w:rPr>
          <w:rFonts w:ascii="Times New Roman" w:hAnsi="Times New Roman" w:cs="Times New Roman"/>
        </w:rPr>
        <w:t>附件</w:t>
      </w:r>
      <w:bookmarkEnd w:id="138"/>
      <w:bookmarkEnd w:id="139"/>
    </w:p>
    <w:p>
      <w:pPr>
        <w:ind w:firstLine="480"/>
        <w:rPr>
          <w:rFonts w:cs="Times New Roman"/>
        </w:rPr>
      </w:pPr>
      <w:r>
        <w:rPr>
          <w:rFonts w:cs="Times New Roman"/>
        </w:rPr>
        <w:t>（1）水土保持监测委托书；</w:t>
      </w:r>
    </w:p>
    <w:p>
      <w:pPr>
        <w:ind w:firstLine="480"/>
        <w:rPr>
          <w:rFonts w:cs="Times New Roman"/>
        </w:rPr>
      </w:pPr>
      <w:r>
        <w:rPr>
          <w:rFonts w:cs="Times New Roman"/>
        </w:rPr>
        <w:t>（2）</w:t>
      </w:r>
      <w:r>
        <w:rPr>
          <w:rFonts w:hint="eastAsia" w:cs="Times New Roman"/>
        </w:rPr>
        <w:t>项目</w:t>
      </w:r>
      <w:r>
        <w:rPr>
          <w:rFonts w:cs="Times New Roman"/>
        </w:rPr>
        <w:t>立项文件；</w:t>
      </w:r>
    </w:p>
    <w:p>
      <w:pPr>
        <w:ind w:firstLine="480"/>
        <w:rPr>
          <w:rFonts w:cs="Times New Roman"/>
        </w:rPr>
      </w:pPr>
      <w:r>
        <w:rPr>
          <w:rFonts w:cs="Times New Roman"/>
        </w:rPr>
        <w:t>（3）</w:t>
      </w:r>
      <w:r>
        <w:rPr>
          <w:rFonts w:hint="eastAsia" w:cs="Times New Roman"/>
          <w:lang w:eastAsia="zh-CN"/>
        </w:rPr>
        <w:t>天府新区成都管委会规划建设局</w:t>
      </w:r>
      <w:r>
        <w:rPr>
          <w:rFonts w:cs="Times New Roman"/>
        </w:rPr>
        <w:t>关于对《</w:t>
      </w:r>
      <w:r>
        <w:rPr>
          <w:rFonts w:hint="eastAsia" w:cs="Times New Roman"/>
          <w:lang w:eastAsia="zh-CN"/>
        </w:rPr>
        <w:t>上海千缘汽车车身模具有限公司关于汽车零部件制造的项目</w:t>
      </w:r>
      <w:r>
        <w:rPr>
          <w:rFonts w:hint="eastAsia" w:cs="Times New Roman"/>
        </w:rPr>
        <w:t>项目水土保持方案</w:t>
      </w:r>
      <w:r>
        <w:rPr>
          <w:rFonts w:cs="Times New Roman"/>
        </w:rPr>
        <w:t>》的批复意见；</w:t>
      </w:r>
    </w:p>
    <w:p>
      <w:pPr>
        <w:ind w:firstLine="480"/>
        <w:rPr>
          <w:rFonts w:cs="Times New Roman"/>
        </w:rPr>
      </w:pPr>
      <w:r>
        <w:rPr>
          <w:rFonts w:cs="Times New Roman"/>
        </w:rPr>
        <w:t>（</w:t>
      </w:r>
      <w:r>
        <w:rPr>
          <w:rFonts w:hint="eastAsia" w:cs="Times New Roman"/>
        </w:rPr>
        <w:t>4</w:t>
      </w:r>
      <w:r>
        <w:rPr>
          <w:rFonts w:cs="Times New Roman"/>
        </w:rPr>
        <w:t>）项目现场监测成果。</w:t>
      </w:r>
    </w:p>
    <w:p>
      <w:pPr>
        <w:pStyle w:val="3"/>
        <w:rPr>
          <w:rFonts w:ascii="Times New Roman" w:hAnsi="Times New Roman" w:cs="Times New Roman"/>
        </w:rPr>
      </w:pPr>
      <w:bookmarkStart w:id="140" w:name="_Toc5825934"/>
      <w:bookmarkStart w:id="141" w:name="_Toc16304"/>
      <w:r>
        <w:rPr>
          <w:rFonts w:ascii="Times New Roman" w:hAnsi="Times New Roman" w:cs="Times New Roman"/>
        </w:rPr>
        <w:t>附图</w:t>
      </w:r>
      <w:bookmarkEnd w:id="140"/>
      <w:bookmarkEnd w:id="141"/>
    </w:p>
    <w:p>
      <w:pPr>
        <w:numPr>
          <w:ilvl w:val="0"/>
          <w:numId w:val="3"/>
        </w:numPr>
        <w:ind w:firstLine="480"/>
        <w:rPr>
          <w:rFonts w:cs="Times New Roman"/>
        </w:rPr>
      </w:pPr>
      <w:r>
        <w:rPr>
          <w:rFonts w:cs="Times New Roman"/>
        </w:rPr>
        <w:t>项目区地理位置图；</w:t>
      </w:r>
    </w:p>
    <w:p>
      <w:pPr>
        <w:numPr>
          <w:ilvl w:val="0"/>
          <w:numId w:val="3"/>
        </w:numPr>
        <w:ind w:firstLine="480"/>
        <w:rPr>
          <w:rFonts w:cs="Times New Roman"/>
        </w:rPr>
      </w:pPr>
      <w:r>
        <w:rPr>
          <w:rFonts w:hint="eastAsia" w:cs="Times New Roman"/>
        </w:rPr>
        <w:t>项目水土保持设施监测点位图</w:t>
      </w:r>
    </w:p>
    <w:p>
      <w:pPr>
        <w:pStyle w:val="24"/>
        <w:rPr>
          <w:rFonts w:cs="Times New Roman"/>
        </w:rPr>
      </w:pPr>
    </w:p>
    <w:sectPr>
      <w:pgSz w:w="11906" w:h="16838"/>
      <w:pgMar w:top="1418" w:right="1418" w:bottom="1418" w:left="1418"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jc w:val="center"/>
    </w:pPr>
    <w:r>
      <w:fldChar w:fldCharType="begin"/>
    </w:r>
    <w:r>
      <w:instrText xml:space="preserve">PAGE   \* MERGEFORMAT</w:instrText>
    </w:r>
    <w:r>
      <w:fldChar w:fldCharType="separate"/>
    </w:r>
    <w:r>
      <w:rPr>
        <w:lang w:val="zh-CN"/>
      </w:rPr>
      <w:t>1</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jc w:val="center"/>
    </w:pPr>
    <w:r>
      <w:fldChar w:fldCharType="begin"/>
    </w:r>
    <w:r>
      <w:instrText xml:space="preserve">PAGE   \* MERGEFORMAT</w:instrText>
    </w:r>
    <w:r>
      <w:fldChar w:fldCharType="separate"/>
    </w:r>
    <w:r>
      <w:rPr>
        <w:lang w:val="zh-CN"/>
      </w:rPr>
      <w:t>II</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jc w:val="center"/>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ind w:firstLine="360"/>
                            <w:jc w:val="center"/>
                          </w:pPr>
                          <w:r>
                            <w:fldChar w:fldCharType="begin"/>
                          </w:r>
                          <w:r>
                            <w:instrText xml:space="preserve">PAGE   \* MERGEFORMAT</w:instrText>
                          </w:r>
                          <w:r>
                            <w:fldChar w:fldCharType="separate"/>
                          </w:r>
                          <w:r>
                            <w:rPr>
                              <w:lang w:val="zh-CN"/>
                            </w:rPr>
                            <w:t>13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9"/>
                      <w:ind w:firstLine="360"/>
                      <w:jc w:val="center"/>
                    </w:pPr>
                    <w:r>
                      <w:fldChar w:fldCharType="begin"/>
                    </w:r>
                    <w:r>
                      <w:instrText xml:space="preserve">PAGE   \* MERGEFORMAT</w:instrText>
                    </w:r>
                    <w:r>
                      <w:fldChar w:fldCharType="separate"/>
                    </w:r>
                    <w:r>
                      <w:rPr>
                        <w:lang w:val="zh-CN"/>
                      </w:rPr>
                      <w:t>13</w:t>
                    </w:r>
                    <w:r>
                      <w:fldChar w:fldCharType="end"/>
                    </w:r>
                  </w:p>
                </w:txbxContent>
              </v:textbox>
            </v:shape>
          </w:pict>
        </mc:Fallback>
      </mc:AlternateContent>
    </w:r>
  </w:p>
  <w:p>
    <w:pPr>
      <w:pStyle w:val="9"/>
      <w:ind w:firstLine="360"/>
      <w:jc w:val="center"/>
      <w:rPr>
        <w:rFonts w:hint="eastAsia" w:eastAsia="仿宋_GB2312"/>
        <w:lang w:eastAsia="zh-CN"/>
      </w:rPr>
    </w:pPr>
    <w:r>
      <w:rPr>
        <w:rFonts w:hint="eastAsia"/>
        <w:lang w:eastAsia="zh-CN"/>
      </w:rPr>
      <w:t>四川景溪工程设计有限公司</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476250" cy="117475"/>
              <wp:effectExtent l="0" t="0" r="0" b="0"/>
              <wp:wrapNone/>
              <wp:docPr id="2" name="文本框 2"/>
              <wp:cNvGraphicFramePr/>
              <a:graphic xmlns:a="http://schemas.openxmlformats.org/drawingml/2006/main">
                <a:graphicData uri="http://schemas.microsoft.com/office/word/2010/wordprocessingShape">
                  <wps:wsp>
                    <wps:cNvSpPr txBox="1"/>
                    <wps:spPr>
                      <a:xfrm>
                        <a:off x="0" y="0"/>
                        <a:ext cx="476250" cy="1174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ind w:firstLine="360"/>
                            <w:jc w:val="center"/>
                          </w:pPr>
                          <w:r>
                            <w:fldChar w:fldCharType="begin"/>
                          </w:r>
                          <w:r>
                            <w:instrText xml:space="preserve">PAGE   \* MERGEFORMAT</w:instrText>
                          </w:r>
                          <w:r>
                            <w:fldChar w:fldCharType="separate"/>
                          </w:r>
                          <w:r>
                            <w:rPr>
                              <w:lang w:val="zh-CN"/>
                            </w:rPr>
                            <w:t>51</w:t>
                          </w:r>
                          <w: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0pt;height:9.25pt;width:37.5pt;mso-position-horizontal:center;mso-position-horizontal-relative:margin;z-index:251659264;mso-width-relative:page;mso-height-relative:page;" filled="f" stroked="f" coordsize="21600,21600" o:gfxdata="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21dMkNIAAAADAQAADwAAAAAAAAABACAA&#10;AAAiAAAAZHJzL2Rvd25yZXYueG1sUEsBAhQAFAAAAAgAh07iQF0rqp0TAgAABwQAAA4AAAAAAAAA&#10;AQAgAAAAIQEAAGRycy9lMm9Eb2MueG1sUEsFBgAAAAAGAAYAWQEAAKYFAAAAAA==&#10;">
              <v:fill on="f" focussize="0,0"/>
              <v:stroke on="f" weight="0.5pt"/>
              <v:imagedata o:title=""/>
              <o:lock v:ext="edit" aspectratio="f"/>
              <v:textbox inset="0mm,0mm,0mm,0mm">
                <w:txbxContent>
                  <w:p>
                    <w:pPr>
                      <w:pStyle w:val="9"/>
                      <w:ind w:firstLine="360"/>
                      <w:jc w:val="center"/>
                    </w:pPr>
                    <w:r>
                      <w:fldChar w:fldCharType="begin"/>
                    </w:r>
                    <w:r>
                      <w:instrText xml:space="preserve">PAGE   \* MERGEFORMAT</w:instrText>
                    </w:r>
                    <w:r>
                      <w:fldChar w:fldCharType="separate"/>
                    </w:r>
                    <w:r>
                      <w:rPr>
                        <w:lang w:val="zh-CN"/>
                      </w:rPr>
                      <w:t>51</w:t>
                    </w:r>
                    <w:r>
                      <w:fldChar w:fldCharType="end"/>
                    </w:r>
                  </w:p>
                </w:txbxContent>
              </v:textbox>
            </v:shape>
          </w:pict>
        </mc:Fallback>
      </mc:AlternateContent>
    </w:r>
  </w:p>
  <w:p>
    <w:pPr>
      <w:pStyle w:val="9"/>
      <w:ind w:firstLine="360"/>
      <w:jc w:val="center"/>
      <w:rPr>
        <w:rFonts w:hint="eastAsia" w:eastAsia="仿宋_GB2312"/>
        <w:lang w:eastAsia="zh-CN"/>
      </w:rPr>
    </w:pPr>
    <w:r>
      <w:rPr>
        <w:rFonts w:hint="eastAsia"/>
        <w:lang w:eastAsia="zh-CN"/>
      </w:rPr>
      <w:t>四川景溪工程设计有限公司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0" w:firstLineChars="0"/>
    </w:pPr>
    <w:r>
      <w:t>前言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480" w:firstLine="0" w:firstLineChars="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0" w:firstLineChars="0"/>
    </w:pPr>
    <w:r>
      <w:fldChar w:fldCharType="begin"/>
    </w:r>
    <w:r>
      <w:instrText xml:space="preserve"> STYLEREF  "标题 1" \n  \* MERGEFORMAT </w:instrText>
    </w:r>
    <w:r>
      <w:fldChar w:fldCharType="separate"/>
    </w:r>
    <w:r>
      <w:t>8</w:t>
    </w:r>
    <w:r>
      <w:fldChar w:fldCharType="end"/>
    </w:r>
    <w:r>
      <w:fldChar w:fldCharType="begin"/>
    </w:r>
    <w:r>
      <w:instrText xml:space="preserve"> STYLEREF  "标题 1"  \* MERGEFORMAT </w:instrText>
    </w:r>
    <w:r>
      <w:fldChar w:fldCharType="separate"/>
    </w:r>
    <w:r>
      <w:rPr>
        <w:rFonts w:hint="eastAsia"/>
      </w:rPr>
      <w:t>附图及有关资料</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2457CC6"/>
    <w:multiLevelType w:val="singleLevel"/>
    <w:tmpl w:val="A2457CC6"/>
    <w:lvl w:ilvl="0" w:tentative="0">
      <w:start w:val="1"/>
      <w:numFmt w:val="decimal"/>
      <w:suff w:val="nothing"/>
      <w:lvlText w:val="（%1）"/>
      <w:lvlJc w:val="left"/>
    </w:lvl>
  </w:abstractNum>
  <w:abstractNum w:abstractNumId="1">
    <w:nsid w:val="74652947"/>
    <w:multiLevelType w:val="multilevel"/>
    <w:tmpl w:val="74652947"/>
    <w:lvl w:ilvl="0" w:tentative="0">
      <w:start w:val="1"/>
      <w:numFmt w:val="decimal"/>
      <w:lvlText w:val="%1"/>
      <w:lvlJc w:val="left"/>
      <w:pPr>
        <w:ind w:left="540" w:hanging="540"/>
      </w:pPr>
      <w:rPr>
        <w:rFonts w:hint="default"/>
      </w:rPr>
    </w:lvl>
    <w:lvl w:ilvl="1" w:tentative="0">
      <w:start w:val="1"/>
      <w:numFmt w:val="decimal"/>
      <w:lvlText w:val="%1.%2"/>
      <w:lvlJc w:val="left"/>
      <w:pPr>
        <w:ind w:left="540" w:hanging="54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2">
    <w:nsid w:val="7D0B7173"/>
    <w:multiLevelType w:val="multilevel"/>
    <w:tmpl w:val="7D0B7173"/>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eastAsia"/>
      </w:rPr>
    </w:lvl>
    <w:lvl w:ilvl="2" w:tentative="0">
      <w:start w:val="1"/>
      <w:numFmt w:val="decimal"/>
      <w:pStyle w:val="4"/>
      <w:suff w:val="space"/>
      <w:lvlText w:val="%1.%2.%3"/>
      <w:lvlJc w:val="left"/>
      <w:pPr>
        <w:ind w:left="426" w:firstLine="0"/>
      </w:pPr>
      <w:rPr>
        <w:rFonts w:hint="eastAsia"/>
        <w:sz w:val="24"/>
        <w:szCs w:val="24"/>
      </w:rPr>
    </w:lvl>
    <w:lvl w:ilvl="3" w:tentative="0">
      <w:start w:val="1"/>
      <w:numFmt w:val="decimal"/>
      <w:pStyle w:val="5"/>
      <w:suff w:val="space"/>
      <w:lvlText w:val="%1.%2.%3.%4"/>
      <w:lvlJc w:val="left"/>
      <w:pPr>
        <w:ind w:left="0" w:firstLine="0"/>
      </w:pPr>
      <w:rPr>
        <w:rFonts w:hint="eastAsia"/>
      </w:rPr>
    </w:lvl>
    <w:lvl w:ilvl="4" w:tentative="0">
      <w:start w:val="1"/>
      <w:numFmt w:val="decimal"/>
      <w:lvlText w:val="%1.%2.%3.%4.%5"/>
      <w:lvlJc w:val="left"/>
      <w:pPr>
        <w:ind w:left="0" w:firstLine="0"/>
      </w:pPr>
      <w:rPr>
        <w:rFonts w:hint="eastAsia"/>
      </w:rPr>
    </w:lvl>
    <w:lvl w:ilvl="5" w:tentative="0">
      <w:start w:val="1"/>
      <w:numFmt w:val="decimal"/>
      <w:lvlText w:val="%1.%2.%3.%4.%5.%6"/>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1CB2"/>
    <w:rsid w:val="00005126"/>
    <w:rsid w:val="00010DDC"/>
    <w:rsid w:val="00013CFD"/>
    <w:rsid w:val="00017A77"/>
    <w:rsid w:val="00032FF6"/>
    <w:rsid w:val="00044FA9"/>
    <w:rsid w:val="00054497"/>
    <w:rsid w:val="00062866"/>
    <w:rsid w:val="00073C01"/>
    <w:rsid w:val="00074542"/>
    <w:rsid w:val="00085CBA"/>
    <w:rsid w:val="000862F7"/>
    <w:rsid w:val="000A6A03"/>
    <w:rsid w:val="000B1CB2"/>
    <w:rsid w:val="000B3300"/>
    <w:rsid w:val="000B3D46"/>
    <w:rsid w:val="000B746D"/>
    <w:rsid w:val="000D3643"/>
    <w:rsid w:val="000E511B"/>
    <w:rsid w:val="000E5274"/>
    <w:rsid w:val="000E57E1"/>
    <w:rsid w:val="000F6AA3"/>
    <w:rsid w:val="0011271E"/>
    <w:rsid w:val="001303F9"/>
    <w:rsid w:val="00140B3B"/>
    <w:rsid w:val="0014353C"/>
    <w:rsid w:val="00145FB6"/>
    <w:rsid w:val="00146442"/>
    <w:rsid w:val="001528EE"/>
    <w:rsid w:val="00155A55"/>
    <w:rsid w:val="001569C8"/>
    <w:rsid w:val="00157439"/>
    <w:rsid w:val="00157C99"/>
    <w:rsid w:val="001727AF"/>
    <w:rsid w:val="00194270"/>
    <w:rsid w:val="00196F8C"/>
    <w:rsid w:val="001A6648"/>
    <w:rsid w:val="001B0D0D"/>
    <w:rsid w:val="001D44CE"/>
    <w:rsid w:val="001E2B6F"/>
    <w:rsid w:val="001F0BAC"/>
    <w:rsid w:val="001F1EB7"/>
    <w:rsid w:val="00213837"/>
    <w:rsid w:val="002346A1"/>
    <w:rsid w:val="00236F96"/>
    <w:rsid w:val="00237DDC"/>
    <w:rsid w:val="002517EB"/>
    <w:rsid w:val="0025285F"/>
    <w:rsid w:val="00282240"/>
    <w:rsid w:val="00295ECF"/>
    <w:rsid w:val="002A0DB0"/>
    <w:rsid w:val="002B3DCD"/>
    <w:rsid w:val="002D05A2"/>
    <w:rsid w:val="002D093E"/>
    <w:rsid w:val="002D6064"/>
    <w:rsid w:val="00305062"/>
    <w:rsid w:val="00314ABF"/>
    <w:rsid w:val="00315B47"/>
    <w:rsid w:val="00321F4E"/>
    <w:rsid w:val="00325C3F"/>
    <w:rsid w:val="00331663"/>
    <w:rsid w:val="00335D24"/>
    <w:rsid w:val="00337D3C"/>
    <w:rsid w:val="003502B4"/>
    <w:rsid w:val="00375AB0"/>
    <w:rsid w:val="00391CE9"/>
    <w:rsid w:val="00394F8C"/>
    <w:rsid w:val="003A2EB8"/>
    <w:rsid w:val="003B4654"/>
    <w:rsid w:val="003C22CF"/>
    <w:rsid w:val="003D088A"/>
    <w:rsid w:val="003D0B5D"/>
    <w:rsid w:val="003D5457"/>
    <w:rsid w:val="003F1C2A"/>
    <w:rsid w:val="003F318D"/>
    <w:rsid w:val="003F37D3"/>
    <w:rsid w:val="003F6E2B"/>
    <w:rsid w:val="0040455D"/>
    <w:rsid w:val="00456736"/>
    <w:rsid w:val="0046471B"/>
    <w:rsid w:val="004749FF"/>
    <w:rsid w:val="00476647"/>
    <w:rsid w:val="004A3B84"/>
    <w:rsid w:val="004B09DE"/>
    <w:rsid w:val="004B12DC"/>
    <w:rsid w:val="004E4C71"/>
    <w:rsid w:val="005066BE"/>
    <w:rsid w:val="005121B5"/>
    <w:rsid w:val="005171F4"/>
    <w:rsid w:val="00524FC2"/>
    <w:rsid w:val="00526AD6"/>
    <w:rsid w:val="00534867"/>
    <w:rsid w:val="00546E0D"/>
    <w:rsid w:val="005471BA"/>
    <w:rsid w:val="00584357"/>
    <w:rsid w:val="00584707"/>
    <w:rsid w:val="00592B4E"/>
    <w:rsid w:val="00596343"/>
    <w:rsid w:val="005A3B09"/>
    <w:rsid w:val="005A6FAD"/>
    <w:rsid w:val="005A7B7C"/>
    <w:rsid w:val="005B44AE"/>
    <w:rsid w:val="005C5EF1"/>
    <w:rsid w:val="005C6F5B"/>
    <w:rsid w:val="005E24D4"/>
    <w:rsid w:val="005F7838"/>
    <w:rsid w:val="00606C94"/>
    <w:rsid w:val="006200F4"/>
    <w:rsid w:val="006339A2"/>
    <w:rsid w:val="00652199"/>
    <w:rsid w:val="006604DF"/>
    <w:rsid w:val="00685E79"/>
    <w:rsid w:val="00697217"/>
    <w:rsid w:val="006A0AAD"/>
    <w:rsid w:val="006A1CA5"/>
    <w:rsid w:val="006A4BDC"/>
    <w:rsid w:val="006A6DFF"/>
    <w:rsid w:val="006C0141"/>
    <w:rsid w:val="006C1B17"/>
    <w:rsid w:val="006C57CA"/>
    <w:rsid w:val="006C63C9"/>
    <w:rsid w:val="006C6651"/>
    <w:rsid w:val="006D2272"/>
    <w:rsid w:val="00703E41"/>
    <w:rsid w:val="007121B9"/>
    <w:rsid w:val="0072668B"/>
    <w:rsid w:val="007367CE"/>
    <w:rsid w:val="007378C4"/>
    <w:rsid w:val="0074576E"/>
    <w:rsid w:val="007506BD"/>
    <w:rsid w:val="007527B6"/>
    <w:rsid w:val="0076029B"/>
    <w:rsid w:val="00762234"/>
    <w:rsid w:val="0077034B"/>
    <w:rsid w:val="0077262E"/>
    <w:rsid w:val="007818B6"/>
    <w:rsid w:val="0078236F"/>
    <w:rsid w:val="00792AD2"/>
    <w:rsid w:val="007940AE"/>
    <w:rsid w:val="007A0D33"/>
    <w:rsid w:val="007B1E1D"/>
    <w:rsid w:val="007C2C88"/>
    <w:rsid w:val="007C428A"/>
    <w:rsid w:val="007D2315"/>
    <w:rsid w:val="007D2942"/>
    <w:rsid w:val="00811134"/>
    <w:rsid w:val="00821153"/>
    <w:rsid w:val="0082127E"/>
    <w:rsid w:val="00821ADF"/>
    <w:rsid w:val="00832844"/>
    <w:rsid w:val="00851C9F"/>
    <w:rsid w:val="0086212F"/>
    <w:rsid w:val="00865143"/>
    <w:rsid w:val="00872318"/>
    <w:rsid w:val="00886FCA"/>
    <w:rsid w:val="008B247C"/>
    <w:rsid w:val="008C5777"/>
    <w:rsid w:val="008D35A5"/>
    <w:rsid w:val="008D6F97"/>
    <w:rsid w:val="008E0E11"/>
    <w:rsid w:val="008E6CE4"/>
    <w:rsid w:val="008F468E"/>
    <w:rsid w:val="00900058"/>
    <w:rsid w:val="00917FA6"/>
    <w:rsid w:val="00926C55"/>
    <w:rsid w:val="00936E49"/>
    <w:rsid w:val="0094141B"/>
    <w:rsid w:val="00945A0F"/>
    <w:rsid w:val="00955805"/>
    <w:rsid w:val="00962A89"/>
    <w:rsid w:val="00975819"/>
    <w:rsid w:val="0098163F"/>
    <w:rsid w:val="00985C2C"/>
    <w:rsid w:val="009C1E6A"/>
    <w:rsid w:val="009D0557"/>
    <w:rsid w:val="009D55BE"/>
    <w:rsid w:val="009F2968"/>
    <w:rsid w:val="009F4857"/>
    <w:rsid w:val="00A057EC"/>
    <w:rsid w:val="00A2278A"/>
    <w:rsid w:val="00A2547C"/>
    <w:rsid w:val="00A36A6D"/>
    <w:rsid w:val="00A66537"/>
    <w:rsid w:val="00A67294"/>
    <w:rsid w:val="00A71708"/>
    <w:rsid w:val="00A80F10"/>
    <w:rsid w:val="00AA08F4"/>
    <w:rsid w:val="00AA4B4B"/>
    <w:rsid w:val="00AA761C"/>
    <w:rsid w:val="00AB107C"/>
    <w:rsid w:val="00AB2FAE"/>
    <w:rsid w:val="00AC62B2"/>
    <w:rsid w:val="00AD520E"/>
    <w:rsid w:val="00AE65C9"/>
    <w:rsid w:val="00AE67DD"/>
    <w:rsid w:val="00AF08F9"/>
    <w:rsid w:val="00AF3D41"/>
    <w:rsid w:val="00B029F9"/>
    <w:rsid w:val="00B05819"/>
    <w:rsid w:val="00B25ABA"/>
    <w:rsid w:val="00B40E51"/>
    <w:rsid w:val="00B43EEA"/>
    <w:rsid w:val="00B44986"/>
    <w:rsid w:val="00B45CD5"/>
    <w:rsid w:val="00B6416C"/>
    <w:rsid w:val="00B66A3F"/>
    <w:rsid w:val="00B71255"/>
    <w:rsid w:val="00B71A02"/>
    <w:rsid w:val="00B72EDC"/>
    <w:rsid w:val="00B80A57"/>
    <w:rsid w:val="00B81775"/>
    <w:rsid w:val="00B87C04"/>
    <w:rsid w:val="00BA1CEB"/>
    <w:rsid w:val="00BA22EF"/>
    <w:rsid w:val="00BA4268"/>
    <w:rsid w:val="00BC1F5F"/>
    <w:rsid w:val="00BE5E92"/>
    <w:rsid w:val="00BE742A"/>
    <w:rsid w:val="00BF1F92"/>
    <w:rsid w:val="00BF5AC6"/>
    <w:rsid w:val="00BF61FC"/>
    <w:rsid w:val="00C21979"/>
    <w:rsid w:val="00C30D12"/>
    <w:rsid w:val="00C438C0"/>
    <w:rsid w:val="00C456A8"/>
    <w:rsid w:val="00C66F75"/>
    <w:rsid w:val="00C856C0"/>
    <w:rsid w:val="00CC653B"/>
    <w:rsid w:val="00CD6352"/>
    <w:rsid w:val="00CD6F56"/>
    <w:rsid w:val="00CE4315"/>
    <w:rsid w:val="00CF488E"/>
    <w:rsid w:val="00CF4D0E"/>
    <w:rsid w:val="00CF6733"/>
    <w:rsid w:val="00D03251"/>
    <w:rsid w:val="00D0457D"/>
    <w:rsid w:val="00D0693B"/>
    <w:rsid w:val="00D21E43"/>
    <w:rsid w:val="00D237D6"/>
    <w:rsid w:val="00D37D1F"/>
    <w:rsid w:val="00D47333"/>
    <w:rsid w:val="00D5076D"/>
    <w:rsid w:val="00D539DA"/>
    <w:rsid w:val="00D63225"/>
    <w:rsid w:val="00D63300"/>
    <w:rsid w:val="00D83FD5"/>
    <w:rsid w:val="00D95599"/>
    <w:rsid w:val="00DA1DE1"/>
    <w:rsid w:val="00DA733E"/>
    <w:rsid w:val="00DD3E46"/>
    <w:rsid w:val="00DD6547"/>
    <w:rsid w:val="00DE00AE"/>
    <w:rsid w:val="00DE24BB"/>
    <w:rsid w:val="00E13FDF"/>
    <w:rsid w:val="00E163ED"/>
    <w:rsid w:val="00E260E0"/>
    <w:rsid w:val="00E310BC"/>
    <w:rsid w:val="00E334E5"/>
    <w:rsid w:val="00E527D0"/>
    <w:rsid w:val="00E662F9"/>
    <w:rsid w:val="00E76240"/>
    <w:rsid w:val="00E779AA"/>
    <w:rsid w:val="00E80B14"/>
    <w:rsid w:val="00E95C37"/>
    <w:rsid w:val="00E96FA7"/>
    <w:rsid w:val="00EA6911"/>
    <w:rsid w:val="00EA77EE"/>
    <w:rsid w:val="00EB27C1"/>
    <w:rsid w:val="00EB40D7"/>
    <w:rsid w:val="00ED0BD9"/>
    <w:rsid w:val="00EE09CE"/>
    <w:rsid w:val="00EE1BDB"/>
    <w:rsid w:val="00F21632"/>
    <w:rsid w:val="00F2367E"/>
    <w:rsid w:val="00F324B9"/>
    <w:rsid w:val="00F3649E"/>
    <w:rsid w:val="00F45A4F"/>
    <w:rsid w:val="00F50E5F"/>
    <w:rsid w:val="00F5666A"/>
    <w:rsid w:val="00F6332A"/>
    <w:rsid w:val="00F6341E"/>
    <w:rsid w:val="00F9725B"/>
    <w:rsid w:val="00FA064C"/>
    <w:rsid w:val="00FA7542"/>
    <w:rsid w:val="00FA78B4"/>
    <w:rsid w:val="00FB1FBA"/>
    <w:rsid w:val="00FD58FB"/>
    <w:rsid w:val="00FD727D"/>
    <w:rsid w:val="00FF2E0C"/>
    <w:rsid w:val="0DDF421C"/>
    <w:rsid w:val="1066718A"/>
    <w:rsid w:val="208D1D02"/>
    <w:rsid w:val="2B160D2A"/>
    <w:rsid w:val="2BFB78FF"/>
    <w:rsid w:val="32817C43"/>
    <w:rsid w:val="367959B2"/>
    <w:rsid w:val="41E227A1"/>
    <w:rsid w:val="4F73148D"/>
    <w:rsid w:val="4FA513E4"/>
    <w:rsid w:val="5BDA6191"/>
    <w:rsid w:val="63654366"/>
    <w:rsid w:val="6A44239D"/>
    <w:rsid w:val="7A314F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0"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ascii="Times New Roman" w:hAnsi="Times New Roman" w:eastAsia="仿宋_GB2312" w:cstheme="minorBidi"/>
      <w:kern w:val="2"/>
      <w:sz w:val="24"/>
      <w:szCs w:val="22"/>
      <w:lang w:val="en-US" w:eastAsia="zh-CN" w:bidi="ar-SA"/>
    </w:rPr>
  </w:style>
  <w:style w:type="paragraph" w:styleId="2">
    <w:name w:val="heading 1"/>
    <w:basedOn w:val="1"/>
    <w:next w:val="1"/>
    <w:link w:val="17"/>
    <w:qFormat/>
    <w:uiPriority w:val="9"/>
    <w:pPr>
      <w:keepNext/>
      <w:keepLines/>
      <w:numPr>
        <w:ilvl w:val="0"/>
        <w:numId w:val="1"/>
      </w:numPr>
      <w:spacing w:before="400"/>
      <w:ind w:firstLineChars="0"/>
      <w:jc w:val="center"/>
      <w:outlineLvl w:val="0"/>
    </w:pPr>
    <w:rPr>
      <w:rFonts w:eastAsia="黑体"/>
      <w:bCs/>
      <w:kern w:val="44"/>
      <w:sz w:val="30"/>
      <w:szCs w:val="44"/>
    </w:rPr>
  </w:style>
  <w:style w:type="paragraph" w:styleId="3">
    <w:name w:val="heading 2"/>
    <w:basedOn w:val="1"/>
    <w:next w:val="1"/>
    <w:link w:val="18"/>
    <w:unhideWhenUsed/>
    <w:qFormat/>
    <w:uiPriority w:val="9"/>
    <w:pPr>
      <w:keepNext/>
      <w:keepLines/>
      <w:numPr>
        <w:ilvl w:val="1"/>
        <w:numId w:val="1"/>
      </w:numPr>
      <w:spacing w:before="300"/>
      <w:ind w:firstLineChars="0"/>
      <w:outlineLvl w:val="1"/>
    </w:pPr>
    <w:rPr>
      <w:rFonts w:eastAsia="黑体" w:asciiTheme="majorHAnsi" w:hAnsiTheme="majorHAnsi" w:cstheme="majorBidi"/>
      <w:bCs/>
      <w:sz w:val="28"/>
      <w:szCs w:val="32"/>
    </w:rPr>
  </w:style>
  <w:style w:type="paragraph" w:styleId="4">
    <w:name w:val="heading 3"/>
    <w:basedOn w:val="1"/>
    <w:next w:val="1"/>
    <w:link w:val="19"/>
    <w:unhideWhenUsed/>
    <w:qFormat/>
    <w:uiPriority w:val="9"/>
    <w:pPr>
      <w:keepNext/>
      <w:keepLines/>
      <w:numPr>
        <w:ilvl w:val="2"/>
        <w:numId w:val="1"/>
      </w:numPr>
      <w:spacing w:before="240"/>
      <w:ind w:left="0" w:firstLineChars="0"/>
      <w:outlineLvl w:val="2"/>
    </w:pPr>
    <w:rPr>
      <w:rFonts w:eastAsia="黑体"/>
      <w:bCs/>
      <w:szCs w:val="32"/>
    </w:rPr>
  </w:style>
  <w:style w:type="paragraph" w:styleId="5">
    <w:name w:val="heading 4"/>
    <w:basedOn w:val="1"/>
    <w:next w:val="1"/>
    <w:link w:val="20"/>
    <w:unhideWhenUsed/>
    <w:qFormat/>
    <w:uiPriority w:val="9"/>
    <w:pPr>
      <w:keepNext/>
      <w:keepLines/>
      <w:numPr>
        <w:ilvl w:val="3"/>
        <w:numId w:val="1"/>
      </w:numPr>
      <w:spacing w:before="240"/>
      <w:ind w:firstLineChars="0"/>
      <w:outlineLvl w:val="3"/>
    </w:pPr>
    <w:rPr>
      <w:rFonts w:eastAsia="仿宋" w:cstheme="majorBidi"/>
      <w:bCs/>
      <w:szCs w:val="28"/>
    </w:rPr>
  </w:style>
  <w:style w:type="character" w:default="1" w:styleId="15">
    <w:name w:val="Default Paragraph Font"/>
    <w:semiHidden/>
    <w:unhideWhenUsed/>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6">
    <w:name w:val="caption"/>
    <w:basedOn w:val="1"/>
    <w:next w:val="1"/>
    <w:link w:val="26"/>
    <w:unhideWhenUsed/>
    <w:qFormat/>
    <w:uiPriority w:val="0"/>
    <w:pPr>
      <w:widowControl/>
      <w:spacing w:before="50" w:beforeLines="50" w:after="50" w:afterLines="50" w:line="240" w:lineRule="auto"/>
      <w:ind w:firstLine="0" w:firstLineChars="0"/>
      <w:jc w:val="center"/>
    </w:pPr>
    <w:rPr>
      <w:rFonts w:eastAsia="黑体" w:cstheme="majorBidi"/>
      <w:sz w:val="21"/>
      <w:szCs w:val="20"/>
    </w:rPr>
  </w:style>
  <w:style w:type="paragraph" w:styleId="7">
    <w:name w:val="toc 3"/>
    <w:basedOn w:val="1"/>
    <w:next w:val="1"/>
    <w:unhideWhenUsed/>
    <w:qFormat/>
    <w:uiPriority w:val="39"/>
    <w:pPr>
      <w:ind w:left="840" w:leftChars="400"/>
    </w:pPr>
  </w:style>
  <w:style w:type="paragraph" w:styleId="8">
    <w:name w:val="Balloon Text"/>
    <w:basedOn w:val="1"/>
    <w:link w:val="31"/>
    <w:semiHidden/>
    <w:unhideWhenUsed/>
    <w:qFormat/>
    <w:uiPriority w:val="99"/>
    <w:pPr>
      <w:spacing w:line="240" w:lineRule="auto"/>
    </w:pPr>
    <w:rPr>
      <w:sz w:val="18"/>
      <w:szCs w:val="18"/>
    </w:rPr>
  </w:style>
  <w:style w:type="paragraph" w:styleId="9">
    <w:name w:val="footer"/>
    <w:basedOn w:val="1"/>
    <w:link w:val="36"/>
    <w:unhideWhenUsed/>
    <w:qFormat/>
    <w:uiPriority w:val="99"/>
    <w:pPr>
      <w:tabs>
        <w:tab w:val="center" w:pos="4153"/>
        <w:tab w:val="right" w:pos="8306"/>
      </w:tabs>
      <w:snapToGrid w:val="0"/>
      <w:spacing w:line="240" w:lineRule="auto"/>
      <w:jc w:val="left"/>
    </w:pPr>
    <w:rPr>
      <w:sz w:val="18"/>
      <w:szCs w:val="18"/>
    </w:rPr>
  </w:style>
  <w:style w:type="paragraph" w:styleId="10">
    <w:name w:val="header"/>
    <w:basedOn w:val="1"/>
    <w:link w:val="35"/>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11">
    <w:name w:val="toc 1"/>
    <w:basedOn w:val="1"/>
    <w:next w:val="1"/>
    <w:unhideWhenUsed/>
    <w:qFormat/>
    <w:uiPriority w:val="39"/>
    <w:pPr>
      <w:spacing w:line="400" w:lineRule="exact"/>
    </w:pPr>
    <w:rPr>
      <w:rFonts w:eastAsia="黑体"/>
    </w:rPr>
  </w:style>
  <w:style w:type="paragraph" w:styleId="12">
    <w:name w:val="toc 2"/>
    <w:basedOn w:val="1"/>
    <w:next w:val="1"/>
    <w:unhideWhenUsed/>
    <w:qFormat/>
    <w:uiPriority w:val="39"/>
    <w:pPr>
      <w:spacing w:before="120" w:line="400" w:lineRule="exact"/>
    </w:pPr>
    <w:rPr>
      <w:rFonts w:eastAsia="黑体"/>
    </w:rPr>
  </w:style>
  <w:style w:type="table" w:styleId="14">
    <w:name w:val="Table Grid"/>
    <w:basedOn w:val="1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Hyperlink"/>
    <w:basedOn w:val="15"/>
    <w:unhideWhenUsed/>
    <w:qFormat/>
    <w:uiPriority w:val="99"/>
    <w:rPr>
      <w:color w:val="0000FF" w:themeColor="hyperlink"/>
      <w:u w:val="single"/>
      <w14:textFill>
        <w14:solidFill>
          <w14:schemeClr w14:val="hlink"/>
        </w14:solidFill>
      </w14:textFill>
    </w:rPr>
  </w:style>
  <w:style w:type="character" w:customStyle="1" w:styleId="17">
    <w:name w:val="标题 1 Char"/>
    <w:basedOn w:val="15"/>
    <w:link w:val="2"/>
    <w:qFormat/>
    <w:uiPriority w:val="9"/>
    <w:rPr>
      <w:rFonts w:ascii="Times New Roman" w:hAnsi="Times New Roman" w:eastAsia="黑体"/>
      <w:bCs/>
      <w:kern w:val="44"/>
      <w:sz w:val="30"/>
      <w:szCs w:val="44"/>
    </w:rPr>
  </w:style>
  <w:style w:type="character" w:customStyle="1" w:styleId="18">
    <w:name w:val="标题 2 Char"/>
    <w:basedOn w:val="15"/>
    <w:link w:val="3"/>
    <w:qFormat/>
    <w:uiPriority w:val="9"/>
    <w:rPr>
      <w:rFonts w:eastAsia="黑体" w:asciiTheme="majorHAnsi" w:hAnsiTheme="majorHAnsi" w:cstheme="majorBidi"/>
      <w:bCs/>
      <w:sz w:val="28"/>
      <w:szCs w:val="32"/>
    </w:rPr>
  </w:style>
  <w:style w:type="character" w:customStyle="1" w:styleId="19">
    <w:name w:val="标题 3 Char"/>
    <w:basedOn w:val="15"/>
    <w:link w:val="4"/>
    <w:qFormat/>
    <w:uiPriority w:val="9"/>
    <w:rPr>
      <w:rFonts w:ascii="Times New Roman" w:hAnsi="Times New Roman" w:eastAsia="黑体"/>
      <w:bCs/>
      <w:sz w:val="24"/>
      <w:szCs w:val="32"/>
    </w:rPr>
  </w:style>
  <w:style w:type="character" w:customStyle="1" w:styleId="20">
    <w:name w:val="标题 4 Char"/>
    <w:basedOn w:val="15"/>
    <w:link w:val="5"/>
    <w:qFormat/>
    <w:uiPriority w:val="0"/>
    <w:rPr>
      <w:rFonts w:ascii="Times New Roman" w:hAnsi="Times New Roman" w:eastAsia="仿宋" w:cstheme="majorBidi"/>
      <w:bCs/>
      <w:sz w:val="24"/>
      <w:szCs w:val="28"/>
    </w:rPr>
  </w:style>
  <w:style w:type="paragraph" w:customStyle="1" w:styleId="21">
    <w:name w:val="表附注"/>
    <w:basedOn w:val="1"/>
    <w:link w:val="22"/>
    <w:qFormat/>
    <w:uiPriority w:val="0"/>
    <w:pPr>
      <w:jc w:val="left"/>
    </w:pPr>
    <w:rPr>
      <w:rFonts w:eastAsia="楷体"/>
    </w:rPr>
  </w:style>
  <w:style w:type="character" w:customStyle="1" w:styleId="22">
    <w:name w:val="表附注 Char"/>
    <w:link w:val="21"/>
    <w:qFormat/>
    <w:uiPriority w:val="0"/>
    <w:rPr>
      <w:rFonts w:ascii="Times New Roman" w:hAnsi="Times New Roman" w:eastAsia="楷体"/>
    </w:rPr>
  </w:style>
  <w:style w:type="paragraph" w:customStyle="1" w:styleId="23">
    <w:name w:val="表格"/>
    <w:basedOn w:val="1"/>
    <w:qFormat/>
    <w:uiPriority w:val="0"/>
    <w:pPr>
      <w:spacing w:before="40" w:after="40" w:line="240" w:lineRule="auto"/>
      <w:ind w:firstLine="0" w:firstLineChars="0"/>
      <w:jc w:val="center"/>
    </w:pPr>
    <w:rPr>
      <w:rFonts w:eastAsia="仿宋"/>
      <w:sz w:val="18"/>
    </w:rPr>
  </w:style>
  <w:style w:type="paragraph" w:customStyle="1" w:styleId="24">
    <w:name w:val="表头、图号"/>
    <w:basedOn w:val="23"/>
    <w:qFormat/>
    <w:uiPriority w:val="0"/>
    <w:pPr>
      <w:spacing w:before="120" w:after="60"/>
    </w:pPr>
    <w:rPr>
      <w:rFonts w:eastAsia="黑体"/>
      <w:sz w:val="21"/>
    </w:rPr>
  </w:style>
  <w:style w:type="paragraph" w:customStyle="1" w:styleId="25">
    <w:name w:val="目录"/>
    <w:basedOn w:val="1"/>
    <w:qFormat/>
    <w:uiPriority w:val="0"/>
    <w:pPr>
      <w:spacing w:before="120" w:line="400" w:lineRule="exact"/>
      <w:jc w:val="center"/>
    </w:pPr>
    <w:rPr>
      <w:rFonts w:eastAsia="黑体"/>
      <w:sz w:val="36"/>
    </w:rPr>
  </w:style>
  <w:style w:type="character" w:customStyle="1" w:styleId="26">
    <w:name w:val="题注 Char"/>
    <w:link w:val="6"/>
    <w:qFormat/>
    <w:uiPriority w:val="0"/>
    <w:rPr>
      <w:rFonts w:ascii="Times New Roman" w:hAnsi="Times New Roman" w:eastAsia="黑体" w:cstheme="majorBidi"/>
      <w:szCs w:val="20"/>
    </w:rPr>
  </w:style>
  <w:style w:type="table" w:customStyle="1" w:styleId="27">
    <w:name w:val="网格型11"/>
    <w:basedOn w:val="1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8">
    <w:name w:val="水保正式表格1"/>
    <w:basedOn w:val="13"/>
    <w:qFormat/>
    <w:uiPriority w:val="99"/>
    <w:pPr>
      <w:adjustRightInd w:val="0"/>
      <w:snapToGrid w:val="0"/>
      <w:spacing w:before="40" w:after="40"/>
      <w:jc w:val="center"/>
    </w:pPr>
    <w:rPr>
      <w:sz w:val="18"/>
    </w:rPr>
    <w:tblPr>
      <w:jc w:val="center"/>
      <w:tblBorders>
        <w:top w:val="single" w:color="auto" w:sz="12" w:space="0"/>
        <w:bottom w:val="single" w:color="auto" w:sz="12" w:space="0"/>
        <w:insideH w:val="single" w:color="auto" w:sz="4" w:space="0"/>
        <w:insideV w:val="single" w:color="auto" w:sz="4" w:space="0"/>
      </w:tblBorders>
      <w:tblCellMar>
        <w:top w:w="0" w:type="dxa"/>
        <w:left w:w="108" w:type="dxa"/>
        <w:bottom w:w="0" w:type="dxa"/>
        <w:right w:w="108" w:type="dxa"/>
      </w:tblCellMar>
    </w:tblPr>
    <w:trPr>
      <w:jc w:val="center"/>
    </w:trPr>
    <w:tcPr>
      <w:tcMar>
        <w:left w:w="57" w:type="dxa"/>
        <w:right w:w="57" w:type="dxa"/>
      </w:tcMar>
      <w:vAlign w:val="center"/>
    </w:tcPr>
  </w:style>
  <w:style w:type="table" w:customStyle="1" w:styleId="29">
    <w:name w:val="样式1"/>
    <w:basedOn w:val="13"/>
    <w:qFormat/>
    <w:uiPriority w:val="99"/>
    <w:tblPr>
      <w:tblBorders>
        <w:top w:val="single" w:color="auto" w:sz="12" w:space="0"/>
        <w:bottom w:val="single" w:color="auto" w:sz="12" w:space="0"/>
        <w:insideH w:val="single" w:color="auto" w:sz="4" w:space="0"/>
        <w:insideV w:val="single" w:color="auto" w:sz="4" w:space="0"/>
      </w:tblBorders>
      <w:tblCellMar>
        <w:top w:w="0" w:type="dxa"/>
        <w:left w:w="108" w:type="dxa"/>
        <w:bottom w:w="0" w:type="dxa"/>
        <w:right w:w="108" w:type="dxa"/>
      </w:tblCellMar>
    </w:tblPr>
  </w:style>
  <w:style w:type="character" w:customStyle="1" w:styleId="30">
    <w:name w:val="题注 Char1 Char1"/>
    <w:qFormat/>
    <w:uiPriority w:val="0"/>
    <w:rPr>
      <w:rFonts w:ascii="Times New Roman" w:hAnsi="Times New Roman" w:eastAsia="仿宋_GB2312" w:cs="Arial"/>
      <w:b/>
      <w:kern w:val="15"/>
      <w:sz w:val="24"/>
      <w:lang w:val="en-US" w:eastAsia="zh-CN" w:bidi="ar-SA"/>
    </w:rPr>
  </w:style>
  <w:style w:type="character" w:customStyle="1" w:styleId="31">
    <w:name w:val="批注框文本 Char"/>
    <w:basedOn w:val="15"/>
    <w:link w:val="8"/>
    <w:semiHidden/>
    <w:qFormat/>
    <w:uiPriority w:val="99"/>
    <w:rPr>
      <w:rFonts w:ascii="Times New Roman" w:hAnsi="Times New Roman" w:eastAsia="仿宋_GB2312"/>
      <w:sz w:val="18"/>
      <w:szCs w:val="18"/>
    </w:rPr>
  </w:style>
  <w:style w:type="paragraph" w:customStyle="1" w:styleId="32">
    <w:name w:val="44正文"/>
    <w:basedOn w:val="1"/>
    <w:qFormat/>
    <w:uiPriority w:val="0"/>
    <w:pPr>
      <w:tabs>
        <w:tab w:val="left" w:pos="110"/>
      </w:tabs>
    </w:pPr>
    <w:rPr>
      <w:rFonts w:cs="Times New Roman"/>
      <w:szCs w:val="24"/>
    </w:rPr>
  </w:style>
  <w:style w:type="character" w:customStyle="1" w:styleId="33">
    <w:name w:val="表格文字内容（清和） Char Char"/>
    <w:link w:val="34"/>
    <w:qFormat/>
    <w:uiPriority w:val="0"/>
    <w:rPr>
      <w:rFonts w:eastAsia="仿宋"/>
      <w:sz w:val="18"/>
      <w:szCs w:val="24"/>
    </w:rPr>
  </w:style>
  <w:style w:type="paragraph" w:customStyle="1" w:styleId="34">
    <w:name w:val="表格文字内容（清和）"/>
    <w:basedOn w:val="1"/>
    <w:link w:val="33"/>
    <w:qFormat/>
    <w:uiPriority w:val="0"/>
    <w:pPr>
      <w:spacing w:line="240" w:lineRule="exact"/>
      <w:ind w:firstLine="0" w:firstLineChars="0"/>
      <w:jc w:val="center"/>
    </w:pPr>
    <w:rPr>
      <w:rFonts w:eastAsia="仿宋" w:asciiTheme="minorHAnsi" w:hAnsiTheme="minorHAnsi"/>
      <w:sz w:val="18"/>
      <w:szCs w:val="24"/>
    </w:rPr>
  </w:style>
  <w:style w:type="character" w:customStyle="1" w:styleId="35">
    <w:name w:val="页眉 Char"/>
    <w:basedOn w:val="15"/>
    <w:link w:val="10"/>
    <w:qFormat/>
    <w:uiPriority w:val="99"/>
    <w:rPr>
      <w:rFonts w:ascii="Times New Roman" w:hAnsi="Times New Roman" w:eastAsia="仿宋_GB2312"/>
      <w:sz w:val="18"/>
      <w:szCs w:val="18"/>
    </w:rPr>
  </w:style>
  <w:style w:type="character" w:customStyle="1" w:styleId="36">
    <w:name w:val="页脚 Char"/>
    <w:basedOn w:val="15"/>
    <w:link w:val="9"/>
    <w:qFormat/>
    <w:uiPriority w:val="99"/>
    <w:rPr>
      <w:rFonts w:ascii="Times New Roman" w:hAnsi="Times New Roman" w:eastAsia="仿宋_GB2312"/>
      <w:sz w:val="18"/>
      <w:szCs w:val="18"/>
    </w:rPr>
  </w:style>
  <w:style w:type="paragraph" w:customStyle="1" w:styleId="37">
    <w:name w:val="表格字体"/>
    <w:basedOn w:val="1"/>
    <w:link w:val="38"/>
    <w:qFormat/>
    <w:uiPriority w:val="0"/>
    <w:pPr>
      <w:adjustRightInd w:val="0"/>
      <w:snapToGrid w:val="0"/>
      <w:spacing w:before="40" w:after="40" w:line="240" w:lineRule="auto"/>
      <w:ind w:firstLine="0" w:firstLineChars="0"/>
      <w:jc w:val="center"/>
    </w:pPr>
    <w:rPr>
      <w:rFonts w:cs="Times New Roman"/>
      <w:color w:val="000000"/>
      <w:sz w:val="18"/>
      <w:szCs w:val="18"/>
    </w:rPr>
  </w:style>
  <w:style w:type="character" w:customStyle="1" w:styleId="38">
    <w:name w:val="表格字体 Char"/>
    <w:basedOn w:val="15"/>
    <w:link w:val="37"/>
    <w:qFormat/>
    <w:uiPriority w:val="0"/>
    <w:rPr>
      <w:rFonts w:ascii="Times New Roman" w:hAnsi="Times New Roman" w:eastAsia="仿宋_GB2312" w:cs="Times New Roman"/>
      <w:color w:val="000000"/>
      <w:sz w:val="18"/>
      <w:szCs w:val="18"/>
    </w:rPr>
  </w:style>
  <w:style w:type="paragraph" w:customStyle="1" w:styleId="39">
    <w:name w:val="TOC 标题1"/>
    <w:basedOn w:val="2"/>
    <w:next w:val="1"/>
    <w:semiHidden/>
    <w:unhideWhenUsed/>
    <w:qFormat/>
    <w:uiPriority w:val="39"/>
    <w:pPr>
      <w:widowControl/>
      <w:numPr>
        <w:numId w:val="0"/>
      </w:numPr>
      <w:spacing w:before="480" w:line="276" w:lineRule="auto"/>
      <w:jc w:val="left"/>
      <w:outlineLvl w:val="9"/>
    </w:pPr>
    <w:rPr>
      <w:rFonts w:asciiTheme="majorHAnsi" w:hAnsiTheme="majorHAnsi" w:eastAsiaTheme="majorEastAsia" w:cstheme="majorBidi"/>
      <w:b/>
      <w:color w:val="376092" w:themeColor="accent1" w:themeShade="BF"/>
      <w:kern w:val="0"/>
      <w:sz w:val="28"/>
      <w:szCs w:val="28"/>
    </w:rPr>
  </w:style>
  <w:style w:type="character" w:customStyle="1" w:styleId="40">
    <w:name w:val="font21"/>
    <w:basedOn w:val="15"/>
    <w:qFormat/>
    <w:uiPriority w:val="0"/>
    <w:rPr>
      <w:rFonts w:hint="default" w:ascii="Times New Roman" w:hAnsi="Times New Roman" w:cs="Times New Roman"/>
      <w:color w:val="000000"/>
      <w:sz w:val="18"/>
      <w:szCs w:val="18"/>
      <w:u w:val="none"/>
    </w:rPr>
  </w:style>
  <w:style w:type="character" w:customStyle="1" w:styleId="41">
    <w:name w:val="font01"/>
    <w:basedOn w:val="15"/>
    <w:qFormat/>
    <w:uiPriority w:val="0"/>
    <w:rPr>
      <w:rFonts w:hint="default" w:ascii="Times New Roman" w:hAnsi="Times New Roman" w:cs="Times New Roman"/>
      <w:color w:val="000000"/>
      <w:sz w:val="18"/>
      <w:szCs w:val="18"/>
      <w:u w:val="none"/>
      <w:vertAlign w:val="superscript"/>
    </w:rPr>
  </w:style>
  <w:style w:type="character" w:customStyle="1" w:styleId="42">
    <w:name w:val="font31"/>
    <w:basedOn w:val="15"/>
    <w:qFormat/>
    <w:uiPriority w:val="0"/>
    <w:rPr>
      <w:rFonts w:hint="default" w:ascii="Times New Roman" w:hAnsi="Times New Roman" w:cs="Times New Roman"/>
      <w:color w:val="000000"/>
      <w:sz w:val="18"/>
      <w:szCs w:val="18"/>
      <w:u w:val="none"/>
    </w:rPr>
  </w:style>
  <w:style w:type="character" w:customStyle="1" w:styleId="43">
    <w:name w:val="font11"/>
    <w:basedOn w:val="15"/>
    <w:qFormat/>
    <w:uiPriority w:val="0"/>
    <w:rPr>
      <w:rFonts w:hint="default" w:ascii="Times New Roman" w:hAnsi="Times New Roman" w:cs="Times New Roman"/>
      <w:color w:val="000000"/>
      <w:sz w:val="18"/>
      <w:szCs w:val="18"/>
      <w:u w:val="none"/>
      <w:vertAlign w:val="superscript"/>
    </w:rPr>
  </w:style>
  <w:style w:type="table" w:customStyle="1" w:styleId="44">
    <w:name w:val="样式2"/>
    <w:basedOn w:val="13"/>
    <w:qFormat/>
    <w:uiPriority w:val="99"/>
    <w:rPr>
      <w:rFonts w:eastAsia="仿宋"/>
      <w:sz w:val="18"/>
    </w:rPr>
    <w:tblPr>
      <w:tblBorders>
        <w:top w:val="single" w:color="auto" w:sz="12" w:space="0"/>
        <w:bottom w:val="single" w:color="auto" w:sz="12" w:space="0"/>
        <w:insideH w:val="single" w:color="auto" w:sz="4" w:space="0"/>
        <w:insideV w:val="single" w:color="auto" w:sz="4" w:space="0"/>
      </w:tblBorders>
      <w:tblCellMar>
        <w:top w:w="0" w:type="dxa"/>
        <w:left w:w="108" w:type="dxa"/>
        <w:bottom w:w="0" w:type="dxa"/>
        <w:right w:w="108" w:type="dxa"/>
      </w:tblCellMar>
    </w:tblPr>
  </w:style>
  <w:style w:type="table" w:customStyle="1" w:styleId="45">
    <w:name w:val="水保正式表格"/>
    <w:basedOn w:val="13"/>
    <w:qFormat/>
    <w:uiPriority w:val="99"/>
    <w:pPr>
      <w:adjustRightInd w:val="0"/>
      <w:snapToGrid w:val="0"/>
    </w:pPr>
    <w:rPr>
      <w:sz w:val="18"/>
    </w:rPr>
    <w:tblPr>
      <w:jc w:val="center"/>
      <w:tblBorders>
        <w:top w:val="single" w:color="auto" w:sz="12" w:space="0"/>
        <w:bottom w:val="single" w:color="auto" w:sz="12" w:space="0"/>
        <w:insideH w:val="single" w:color="auto" w:sz="4" w:space="0"/>
        <w:insideV w:val="single" w:color="auto" w:sz="4" w:space="0"/>
      </w:tblBorders>
      <w:tblCellMar>
        <w:top w:w="0" w:type="dxa"/>
        <w:left w:w="108" w:type="dxa"/>
        <w:bottom w:w="0" w:type="dxa"/>
        <w:right w:w="108" w:type="dxa"/>
      </w:tblCellMar>
    </w:tblPr>
    <w:trPr>
      <w:jc w:val="center"/>
    </w:trPr>
    <w:tcPr>
      <w:tcMar>
        <w:left w:w="57" w:type="dxa"/>
        <w:right w:w="57" w:type="dxa"/>
      </w:tcMar>
      <w:vAlign w:val="center"/>
    </w:tcPr>
  </w:style>
  <w:style w:type="paragraph" w:customStyle="1" w:styleId="46">
    <w:name w:val="表"/>
    <w:basedOn w:val="1"/>
    <w:next w:val="1"/>
    <w:qFormat/>
    <w:uiPriority w:val="0"/>
    <w:pPr>
      <w:adjustRightInd w:val="0"/>
      <w:snapToGrid w:val="0"/>
      <w:spacing w:before="40" w:after="40" w:line="240" w:lineRule="auto"/>
      <w:ind w:firstLine="0" w:firstLineChars="0"/>
      <w:jc w:val="center"/>
    </w:pPr>
    <w:rPr>
      <w:sz w:val="18"/>
    </w:rPr>
  </w:style>
  <w:style w:type="table" w:customStyle="1" w:styleId="47">
    <w:name w:val="样式11"/>
    <w:basedOn w:val="13"/>
    <w:qFormat/>
    <w:uiPriority w:val="99"/>
    <w:rPr>
      <w:rFonts w:eastAsia="仿宋"/>
      <w:sz w:val="18"/>
    </w:rPr>
    <w:tblPr>
      <w:tblBorders>
        <w:top w:val="single" w:color="auto" w:sz="12" w:space="0"/>
        <w:bottom w:val="single" w:color="auto" w:sz="12" w:space="0"/>
        <w:insideH w:val="single" w:color="auto" w:sz="4" w:space="0"/>
        <w:insideV w:val="single" w:color="auto" w:sz="4" w:space="0"/>
      </w:tblBorders>
      <w:tblCellMar>
        <w:top w:w="0" w:type="dxa"/>
        <w:left w:w="108" w:type="dxa"/>
        <w:bottom w:w="0" w:type="dxa"/>
        <w:right w:w="108" w:type="dxa"/>
      </w:tblCellMar>
    </w:tblPr>
  </w:style>
  <w:style w:type="character" w:customStyle="1" w:styleId="48">
    <w:name w:val="font41"/>
    <w:basedOn w:val="15"/>
    <w:qFormat/>
    <w:uiPriority w:val="0"/>
    <w:rPr>
      <w:rFonts w:hint="default" w:ascii="Times New Roman" w:hAnsi="Times New Roman" w:cs="Times New Roman"/>
      <w:color w:val="000000"/>
      <w:sz w:val="18"/>
      <w:szCs w:val="18"/>
      <w:u w:val="none"/>
    </w:rPr>
  </w:style>
  <w:style w:type="paragraph" w:customStyle="1" w:styleId="49">
    <w:name w:val="表文"/>
    <w:basedOn w:val="1"/>
    <w:next w:val="1"/>
    <w:qFormat/>
    <w:uiPriority w:val="0"/>
    <w:pPr>
      <w:spacing w:before="40" w:after="40" w:line="240" w:lineRule="auto"/>
      <w:ind w:firstLine="0" w:firstLineChars="0"/>
      <w:jc w:val="center"/>
    </w:pPr>
    <w:rPr>
      <w:rFonts w:cs="宋体"/>
      <w:sz w:val="18"/>
      <w:szCs w:val="1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1.png"/><Relationship Id="rId14" Type="http://schemas.openxmlformats.org/officeDocument/2006/relationships/theme" Target="theme/theme1.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3BDCEA3-474F-4F9A-8547-122AEAB07E3E}">
  <ds:schemaRefs/>
</ds:datastoreItem>
</file>

<file path=docProps/app.xml><?xml version="1.0" encoding="utf-8"?>
<Properties xmlns="http://schemas.openxmlformats.org/officeDocument/2006/extended-properties" xmlns:vt="http://schemas.openxmlformats.org/officeDocument/2006/docPropsVTypes">
  <Template>Normal</Template>
  <Pages>53</Pages>
  <Words>5645</Words>
  <Characters>32183</Characters>
  <Lines>268</Lines>
  <Paragraphs>75</Paragraphs>
  <TotalTime>19</TotalTime>
  <ScaleCrop>false</ScaleCrop>
  <LinksUpToDate>false</LinksUpToDate>
  <CharactersWithSpaces>37753</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2019-04-29T07:40:00Z</dcterms:created>
  <dc:creator>1234</dc:creator>
  <cp:lastModifiedBy>Floyd</cp:lastModifiedBy>
  <cp:lastPrinted>2020-06-10T06:28:00Z</cp:lastPrinted>
  <dcterms:modified xsi:type="dcterms:W3CDTF">2020-07-29T06:34:28Z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